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586" w:rsidRPr="00D818A6" w:rsidRDefault="00B46586" w:rsidP="00B46586">
      <w:pPr>
        <w:spacing w:after="0" w:line="240" w:lineRule="auto"/>
        <w:jc w:val="center"/>
        <w:outlineLvl w:val="0"/>
        <w:rPr>
          <w:i/>
          <w:color w:val="1F497D"/>
          <w:sz w:val="40"/>
          <w:szCs w:val="40"/>
        </w:rPr>
      </w:pPr>
      <w:r w:rsidRPr="00D818A6">
        <w:rPr>
          <w:b/>
          <w:i/>
          <w:color w:val="1F497D"/>
          <w:sz w:val="60"/>
          <w:szCs w:val="60"/>
        </w:rPr>
        <w:t>A</w:t>
      </w:r>
      <w:r w:rsidRPr="00D818A6">
        <w:rPr>
          <w:i/>
          <w:color w:val="1F497D"/>
          <w:sz w:val="40"/>
          <w:szCs w:val="40"/>
        </w:rPr>
        <w:t>zienda per l’</w:t>
      </w:r>
      <w:r w:rsidRPr="00D818A6">
        <w:rPr>
          <w:b/>
          <w:i/>
          <w:color w:val="1F497D"/>
          <w:sz w:val="60"/>
          <w:szCs w:val="60"/>
        </w:rPr>
        <w:t>A</w:t>
      </w:r>
      <w:r w:rsidRPr="00D818A6">
        <w:rPr>
          <w:i/>
          <w:color w:val="1F497D"/>
          <w:sz w:val="40"/>
          <w:szCs w:val="40"/>
        </w:rPr>
        <w:t xml:space="preserve">ssistenza </w:t>
      </w:r>
      <w:r w:rsidRPr="00D818A6">
        <w:rPr>
          <w:b/>
          <w:i/>
          <w:color w:val="1F497D"/>
          <w:sz w:val="60"/>
          <w:szCs w:val="60"/>
        </w:rPr>
        <w:t>S</w:t>
      </w:r>
      <w:r w:rsidRPr="00D818A6">
        <w:rPr>
          <w:i/>
          <w:color w:val="1F497D"/>
          <w:sz w:val="40"/>
          <w:szCs w:val="40"/>
        </w:rPr>
        <w:t>anitaria</w:t>
      </w:r>
    </w:p>
    <w:p w:rsidR="00B46586" w:rsidRPr="00D818A6" w:rsidRDefault="00964889" w:rsidP="00B46586">
      <w:pPr>
        <w:spacing w:after="0" w:line="240" w:lineRule="auto"/>
        <w:jc w:val="center"/>
        <w:rPr>
          <w:i/>
          <w:color w:val="1F497D"/>
          <w:sz w:val="40"/>
          <w:szCs w:val="40"/>
        </w:rPr>
      </w:pPr>
      <w:r w:rsidRPr="00964889">
        <w:rPr>
          <w:noProof/>
          <w:color w:val="1F497D"/>
          <w:lang w:eastAsia="it-IT"/>
        </w:rPr>
        <w:pict>
          <v:line id="Connettore 1 4" o:spid="_x0000_s1026" style="position:absolute;left:0;text-align:left;flip:y;z-index:251660288;visibility:visible" from="102.25pt,.85pt" to="379.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" strokecolor="#2f5496" strokeweight="1pt">
            <v:stroke joinstyle="miter"/>
          </v:line>
        </w:pict>
      </w:r>
      <w:r w:rsidR="00B46586" w:rsidRPr="00D818A6">
        <w:rPr>
          <w:i/>
          <w:color w:val="1F497D"/>
          <w:sz w:val="40"/>
          <w:szCs w:val="40"/>
        </w:rPr>
        <w:t>n. 5 “Friuli Occidentale”</w:t>
      </w:r>
    </w:p>
    <w:p w:rsidR="00B46586" w:rsidRPr="00D818A6" w:rsidRDefault="00B46586" w:rsidP="00B46586">
      <w:pPr>
        <w:spacing w:after="0" w:line="240" w:lineRule="auto"/>
        <w:jc w:val="center"/>
        <w:rPr>
          <w:color w:val="1F497D"/>
          <w:sz w:val="20"/>
          <w:szCs w:val="20"/>
        </w:rPr>
      </w:pPr>
      <w:r w:rsidRPr="00D818A6">
        <w:rPr>
          <w:color w:val="1F497D"/>
          <w:sz w:val="20"/>
          <w:szCs w:val="20"/>
        </w:rPr>
        <w:t>Via della Vecchia Ceramica, 1  –  33170 Pordenone</w:t>
      </w:r>
    </w:p>
    <w:p w:rsidR="00B46586" w:rsidRDefault="00B46586" w:rsidP="00B46586">
      <w:pPr>
        <w:spacing w:after="0" w:line="240" w:lineRule="auto"/>
        <w:jc w:val="center"/>
        <w:outlineLvl w:val="0"/>
        <w:rPr>
          <w:color w:val="1F497D"/>
          <w:sz w:val="20"/>
          <w:szCs w:val="20"/>
        </w:rPr>
      </w:pPr>
      <w:r w:rsidRPr="00D818A6">
        <w:rPr>
          <w:color w:val="1F497D"/>
          <w:sz w:val="20"/>
          <w:szCs w:val="20"/>
        </w:rPr>
        <w:t xml:space="preserve">PEC:   </w:t>
      </w:r>
      <w:hyperlink r:id="rId8" w:history="1">
        <w:r w:rsidRPr="00D818A6">
          <w:rPr>
            <w:rStyle w:val="Collegamentoipertestuale"/>
            <w:color w:val="1F497D"/>
            <w:sz w:val="20"/>
            <w:szCs w:val="20"/>
          </w:rPr>
          <w:t>aas5.protgen@certsanita.fvg.it</w:t>
        </w:r>
      </w:hyperlink>
      <w:r w:rsidRPr="00D818A6">
        <w:rPr>
          <w:color w:val="1F497D"/>
          <w:sz w:val="20"/>
          <w:szCs w:val="20"/>
        </w:rPr>
        <w:t xml:space="preserve"> </w:t>
      </w:r>
    </w:p>
    <w:p w:rsidR="00B46586" w:rsidRDefault="00B46586" w:rsidP="00B46586"/>
    <w:p w:rsidR="00643359" w:rsidRDefault="00643359" w:rsidP="00B46586"/>
    <w:p w:rsidR="00643359" w:rsidRDefault="00643359" w:rsidP="00B46586"/>
    <w:p w:rsidR="00643359" w:rsidRDefault="00643359" w:rsidP="00B46586"/>
    <w:p w:rsidR="00643359" w:rsidRDefault="00643359" w:rsidP="00B46586"/>
    <w:p w:rsidR="00643359" w:rsidRDefault="00643359" w:rsidP="00B46586"/>
    <w:p w:rsidR="00643359" w:rsidRDefault="00643359" w:rsidP="00B46586"/>
    <w:p w:rsidR="00643359" w:rsidRDefault="00643359" w:rsidP="00B46586"/>
    <w:p w:rsidR="00643359" w:rsidRDefault="00643359" w:rsidP="00B46586"/>
    <w:p w:rsidR="00643359" w:rsidRDefault="00643359" w:rsidP="00643359">
      <w:pPr>
        <w:jc w:val="center"/>
        <w:rPr>
          <w:b/>
          <w:sz w:val="52"/>
          <w:szCs w:val="52"/>
        </w:rPr>
      </w:pPr>
      <w:r w:rsidRPr="00643359">
        <w:rPr>
          <w:b/>
          <w:sz w:val="52"/>
          <w:szCs w:val="52"/>
        </w:rPr>
        <w:t>RELAZIONE SULLA PERFORMANCE</w:t>
      </w:r>
    </w:p>
    <w:p w:rsidR="00643359" w:rsidRPr="00643359" w:rsidRDefault="00643359" w:rsidP="00643359">
      <w:pPr>
        <w:jc w:val="center"/>
        <w:rPr>
          <w:b/>
          <w:sz w:val="52"/>
          <w:szCs w:val="52"/>
        </w:rPr>
      </w:pPr>
      <w:r>
        <w:rPr>
          <w:b/>
          <w:sz w:val="52"/>
          <w:szCs w:val="52"/>
        </w:rPr>
        <w:t>ANNO 2015</w:t>
      </w:r>
    </w:p>
    <w:p w:rsidR="00643359" w:rsidRDefault="00643359">
      <w:pPr>
        <w:rPr>
          <w:rFonts w:ascii="Times New Roman" w:hAnsi="Times New Roman"/>
          <w:b/>
          <w:sz w:val="24"/>
          <w:szCs w:val="24"/>
        </w:rPr>
      </w:pPr>
      <w:r>
        <w:rPr>
          <w:rFonts w:ascii="Times New Roman" w:hAnsi="Times New Roman"/>
          <w:b/>
          <w:sz w:val="24"/>
          <w:szCs w:val="24"/>
        </w:rPr>
        <w:br w:type="page"/>
      </w:r>
    </w:p>
    <w:p w:rsidR="00643359" w:rsidRDefault="00643359">
      <w:pPr>
        <w:rPr>
          <w:rFonts w:ascii="Times New Roman" w:hAnsi="Times New Roman"/>
          <w:b/>
          <w:sz w:val="24"/>
          <w:szCs w:val="24"/>
        </w:rPr>
      </w:pPr>
      <w:r>
        <w:rPr>
          <w:rFonts w:ascii="Times New Roman" w:hAnsi="Times New Roman"/>
          <w:b/>
          <w:sz w:val="24"/>
          <w:szCs w:val="24"/>
        </w:rPr>
        <w:lastRenderedPageBreak/>
        <w:t>INDICE</w:t>
      </w:r>
    </w:p>
    <w:p w:rsidR="00643359" w:rsidRDefault="00643359">
      <w:pPr>
        <w:rPr>
          <w:rFonts w:ascii="Times New Roman" w:hAnsi="Times New Roman"/>
          <w:b/>
          <w:sz w:val="24"/>
          <w:szCs w:val="24"/>
        </w:rPr>
      </w:pPr>
    </w:p>
    <w:tbl>
      <w:tblPr>
        <w:tblStyle w:val="Grigliatabel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1701"/>
      </w:tblGrid>
      <w:tr w:rsidR="00643359" w:rsidTr="004707F9">
        <w:tc>
          <w:tcPr>
            <w:tcW w:w="8046" w:type="dxa"/>
          </w:tcPr>
          <w:p w:rsidR="00643359" w:rsidRDefault="009336E2">
            <w:pPr>
              <w:rPr>
                <w:rFonts w:ascii="Times New Roman" w:hAnsi="Times New Roman"/>
                <w:sz w:val="24"/>
                <w:szCs w:val="24"/>
              </w:rPr>
            </w:pPr>
            <w:r w:rsidRPr="004707F9">
              <w:rPr>
                <w:rFonts w:ascii="Times New Roman" w:hAnsi="Times New Roman"/>
                <w:sz w:val="24"/>
                <w:szCs w:val="24"/>
              </w:rPr>
              <w:t>Introduzione</w:t>
            </w:r>
          </w:p>
          <w:p w:rsidR="00421251" w:rsidRPr="004707F9" w:rsidRDefault="00421251">
            <w:pPr>
              <w:rPr>
                <w:rFonts w:ascii="Times New Roman" w:hAnsi="Times New Roman"/>
                <w:sz w:val="24"/>
                <w:szCs w:val="24"/>
              </w:rPr>
            </w:pPr>
          </w:p>
        </w:tc>
        <w:tc>
          <w:tcPr>
            <w:tcW w:w="1701" w:type="dxa"/>
          </w:tcPr>
          <w:p w:rsidR="00643359" w:rsidRPr="004707F9" w:rsidRDefault="009336E2">
            <w:pPr>
              <w:rPr>
                <w:rFonts w:ascii="Times New Roman" w:hAnsi="Times New Roman"/>
                <w:sz w:val="24"/>
                <w:szCs w:val="24"/>
              </w:rPr>
            </w:pPr>
            <w:r w:rsidRPr="004707F9">
              <w:rPr>
                <w:rFonts w:ascii="Times New Roman" w:hAnsi="Times New Roman"/>
                <w:sz w:val="24"/>
                <w:szCs w:val="24"/>
              </w:rPr>
              <w:t>Pag.    3</w:t>
            </w:r>
          </w:p>
        </w:tc>
      </w:tr>
      <w:tr w:rsidR="00643359" w:rsidTr="004707F9">
        <w:tc>
          <w:tcPr>
            <w:tcW w:w="8046" w:type="dxa"/>
          </w:tcPr>
          <w:p w:rsidR="00643359" w:rsidRDefault="003A04E3" w:rsidP="003A04E3">
            <w:pPr>
              <w:autoSpaceDE w:val="0"/>
              <w:autoSpaceDN w:val="0"/>
              <w:adjustRightInd w:val="0"/>
              <w:rPr>
                <w:rFonts w:ascii="Garamond" w:eastAsia="Times New Roman" w:hAnsi="Garamond"/>
                <w:color w:val="000000"/>
                <w:sz w:val="24"/>
                <w:szCs w:val="24"/>
                <w:lang w:eastAsia="it-IT"/>
              </w:rPr>
            </w:pPr>
            <w:r w:rsidRPr="004707F9">
              <w:rPr>
                <w:rFonts w:ascii="Garamond" w:eastAsia="Times New Roman" w:hAnsi="Garamond"/>
                <w:color w:val="000000"/>
                <w:sz w:val="24"/>
                <w:szCs w:val="24"/>
                <w:lang w:eastAsia="it-IT"/>
              </w:rPr>
              <w:t>La programmazione regionale: la predisposizione del Piano Attuativo Locale (PAL)</w:t>
            </w:r>
          </w:p>
          <w:p w:rsidR="00421251" w:rsidRPr="004707F9" w:rsidRDefault="00421251" w:rsidP="003A04E3">
            <w:pPr>
              <w:autoSpaceDE w:val="0"/>
              <w:autoSpaceDN w:val="0"/>
              <w:adjustRightInd w:val="0"/>
              <w:rPr>
                <w:rFonts w:ascii="Times New Roman" w:hAnsi="Times New Roman"/>
                <w:sz w:val="24"/>
                <w:szCs w:val="24"/>
              </w:rPr>
            </w:pPr>
          </w:p>
        </w:tc>
        <w:tc>
          <w:tcPr>
            <w:tcW w:w="1701" w:type="dxa"/>
          </w:tcPr>
          <w:p w:rsidR="00643359" w:rsidRPr="004707F9" w:rsidRDefault="003A04E3">
            <w:pPr>
              <w:rPr>
                <w:rFonts w:ascii="Times New Roman" w:hAnsi="Times New Roman"/>
                <w:sz w:val="24"/>
                <w:szCs w:val="24"/>
              </w:rPr>
            </w:pPr>
            <w:r w:rsidRPr="004707F9">
              <w:rPr>
                <w:rFonts w:ascii="Times New Roman" w:hAnsi="Times New Roman"/>
                <w:sz w:val="24"/>
                <w:szCs w:val="24"/>
              </w:rPr>
              <w:t>Pag.    7</w:t>
            </w:r>
          </w:p>
        </w:tc>
      </w:tr>
      <w:tr w:rsidR="00643359" w:rsidTr="004707F9">
        <w:tc>
          <w:tcPr>
            <w:tcW w:w="8046" w:type="dxa"/>
          </w:tcPr>
          <w:p w:rsidR="00643359" w:rsidRDefault="003A04E3" w:rsidP="003A04E3">
            <w:pPr>
              <w:autoSpaceDE w:val="0"/>
              <w:autoSpaceDN w:val="0"/>
              <w:adjustRightInd w:val="0"/>
              <w:rPr>
                <w:rFonts w:ascii="Garamond" w:eastAsia="Times New Roman" w:hAnsi="Garamond"/>
                <w:color w:val="000000"/>
                <w:sz w:val="24"/>
                <w:szCs w:val="24"/>
                <w:lang w:eastAsia="it-IT"/>
              </w:rPr>
            </w:pPr>
            <w:r w:rsidRPr="004707F9">
              <w:rPr>
                <w:rFonts w:ascii="Garamond" w:eastAsia="Times New Roman" w:hAnsi="Garamond"/>
                <w:color w:val="000000"/>
                <w:sz w:val="24"/>
                <w:szCs w:val="24"/>
                <w:lang w:eastAsia="it-IT"/>
              </w:rPr>
              <w:t>Il monitoraggio della gestione</w:t>
            </w:r>
          </w:p>
          <w:p w:rsidR="00421251" w:rsidRPr="004707F9" w:rsidRDefault="00421251" w:rsidP="003A04E3">
            <w:pPr>
              <w:autoSpaceDE w:val="0"/>
              <w:autoSpaceDN w:val="0"/>
              <w:adjustRightInd w:val="0"/>
              <w:rPr>
                <w:rFonts w:ascii="Times New Roman" w:hAnsi="Times New Roman"/>
                <w:sz w:val="24"/>
                <w:szCs w:val="24"/>
              </w:rPr>
            </w:pPr>
          </w:p>
        </w:tc>
        <w:tc>
          <w:tcPr>
            <w:tcW w:w="1701" w:type="dxa"/>
          </w:tcPr>
          <w:p w:rsidR="00643359" w:rsidRPr="004707F9" w:rsidRDefault="003A04E3">
            <w:pPr>
              <w:rPr>
                <w:rFonts w:ascii="Times New Roman" w:hAnsi="Times New Roman"/>
                <w:sz w:val="24"/>
                <w:szCs w:val="24"/>
              </w:rPr>
            </w:pPr>
            <w:r w:rsidRPr="004707F9">
              <w:rPr>
                <w:rFonts w:ascii="Times New Roman" w:hAnsi="Times New Roman"/>
                <w:sz w:val="24"/>
                <w:szCs w:val="24"/>
              </w:rPr>
              <w:t>Pag.    9</w:t>
            </w:r>
          </w:p>
        </w:tc>
      </w:tr>
      <w:tr w:rsidR="00643359" w:rsidTr="004707F9">
        <w:tc>
          <w:tcPr>
            <w:tcW w:w="8046" w:type="dxa"/>
          </w:tcPr>
          <w:p w:rsidR="00643359" w:rsidRDefault="003A04E3" w:rsidP="003A04E3">
            <w:pPr>
              <w:autoSpaceDE w:val="0"/>
              <w:autoSpaceDN w:val="0"/>
              <w:adjustRightInd w:val="0"/>
              <w:spacing w:line="360" w:lineRule="auto"/>
              <w:jc w:val="both"/>
              <w:rPr>
                <w:rFonts w:ascii="Garamond" w:hAnsi="Garamond"/>
                <w:color w:val="000000"/>
                <w:sz w:val="24"/>
                <w:szCs w:val="24"/>
              </w:rPr>
            </w:pPr>
            <w:r w:rsidRPr="004707F9">
              <w:rPr>
                <w:rFonts w:ascii="Garamond" w:hAnsi="Garamond"/>
                <w:color w:val="000000"/>
                <w:sz w:val="24"/>
                <w:szCs w:val="24"/>
              </w:rPr>
              <w:t>Sistema premiante e gestione per budget</w:t>
            </w:r>
          </w:p>
          <w:p w:rsidR="00421251" w:rsidRPr="004707F9" w:rsidRDefault="00421251" w:rsidP="003A04E3">
            <w:pPr>
              <w:autoSpaceDE w:val="0"/>
              <w:autoSpaceDN w:val="0"/>
              <w:adjustRightInd w:val="0"/>
              <w:spacing w:line="360" w:lineRule="auto"/>
              <w:jc w:val="both"/>
              <w:rPr>
                <w:rFonts w:ascii="Times New Roman" w:hAnsi="Times New Roman"/>
                <w:sz w:val="24"/>
                <w:szCs w:val="24"/>
              </w:rPr>
            </w:pPr>
          </w:p>
        </w:tc>
        <w:tc>
          <w:tcPr>
            <w:tcW w:w="1701" w:type="dxa"/>
          </w:tcPr>
          <w:p w:rsidR="00643359" w:rsidRPr="004707F9" w:rsidRDefault="003A04E3" w:rsidP="003A04E3">
            <w:pPr>
              <w:rPr>
                <w:rFonts w:ascii="Times New Roman" w:hAnsi="Times New Roman"/>
                <w:sz w:val="24"/>
                <w:szCs w:val="24"/>
              </w:rPr>
            </w:pPr>
            <w:r w:rsidRPr="004707F9">
              <w:rPr>
                <w:rFonts w:ascii="Times New Roman" w:hAnsi="Times New Roman"/>
                <w:sz w:val="24"/>
                <w:szCs w:val="24"/>
              </w:rPr>
              <w:t>Pag.   20</w:t>
            </w:r>
          </w:p>
        </w:tc>
      </w:tr>
      <w:tr w:rsidR="003A04E3" w:rsidTr="004707F9">
        <w:tc>
          <w:tcPr>
            <w:tcW w:w="8046" w:type="dxa"/>
          </w:tcPr>
          <w:p w:rsidR="003A04E3" w:rsidRDefault="003A04E3" w:rsidP="004707F9">
            <w:pPr>
              <w:autoSpaceDE w:val="0"/>
              <w:autoSpaceDN w:val="0"/>
              <w:adjustRightInd w:val="0"/>
              <w:spacing w:line="360" w:lineRule="auto"/>
              <w:rPr>
                <w:rFonts w:ascii="Garamond" w:hAnsi="Garamond"/>
                <w:color w:val="000000"/>
                <w:sz w:val="24"/>
                <w:szCs w:val="24"/>
              </w:rPr>
            </w:pPr>
            <w:r w:rsidRPr="004707F9">
              <w:rPr>
                <w:rFonts w:ascii="Garamond" w:hAnsi="Garamond"/>
                <w:color w:val="000000"/>
                <w:sz w:val="24"/>
                <w:szCs w:val="24"/>
              </w:rPr>
              <w:t xml:space="preserve">Monitoraggio degli obiettivi </w:t>
            </w:r>
          </w:p>
          <w:p w:rsidR="00421251" w:rsidRPr="004707F9" w:rsidRDefault="00421251" w:rsidP="004707F9">
            <w:pPr>
              <w:autoSpaceDE w:val="0"/>
              <w:autoSpaceDN w:val="0"/>
              <w:adjustRightInd w:val="0"/>
              <w:spacing w:line="360" w:lineRule="auto"/>
              <w:rPr>
                <w:rFonts w:ascii="Garamond" w:hAnsi="Garamond"/>
                <w:color w:val="000000"/>
                <w:sz w:val="24"/>
                <w:szCs w:val="24"/>
              </w:rPr>
            </w:pPr>
          </w:p>
        </w:tc>
        <w:tc>
          <w:tcPr>
            <w:tcW w:w="1701" w:type="dxa"/>
          </w:tcPr>
          <w:p w:rsidR="003A04E3" w:rsidRPr="004707F9" w:rsidRDefault="003A04E3">
            <w:pPr>
              <w:rPr>
                <w:rFonts w:ascii="Times New Roman" w:hAnsi="Times New Roman"/>
                <w:sz w:val="24"/>
                <w:szCs w:val="24"/>
              </w:rPr>
            </w:pPr>
            <w:r w:rsidRPr="004707F9">
              <w:rPr>
                <w:rFonts w:ascii="Times New Roman" w:hAnsi="Times New Roman"/>
                <w:sz w:val="24"/>
                <w:szCs w:val="24"/>
              </w:rPr>
              <w:t>Pag.   22</w:t>
            </w:r>
          </w:p>
        </w:tc>
      </w:tr>
      <w:tr w:rsidR="004707F9" w:rsidTr="004707F9">
        <w:tc>
          <w:tcPr>
            <w:tcW w:w="8046" w:type="dxa"/>
          </w:tcPr>
          <w:p w:rsidR="004707F9" w:rsidRPr="004707F9" w:rsidRDefault="004707F9" w:rsidP="004707F9">
            <w:pPr>
              <w:autoSpaceDE w:val="0"/>
              <w:autoSpaceDN w:val="0"/>
              <w:adjustRightInd w:val="0"/>
              <w:spacing w:line="360" w:lineRule="auto"/>
              <w:rPr>
                <w:rFonts w:ascii="Garamond" w:hAnsi="Garamond"/>
                <w:color w:val="000000"/>
                <w:sz w:val="24"/>
                <w:szCs w:val="24"/>
              </w:rPr>
            </w:pPr>
            <w:r w:rsidRPr="004707F9">
              <w:rPr>
                <w:rFonts w:ascii="Garamond" w:hAnsi="Garamond"/>
                <w:color w:val="000000"/>
                <w:sz w:val="24"/>
                <w:szCs w:val="24"/>
              </w:rPr>
              <w:t>Valutazione finale dei risultati raggiunti</w:t>
            </w:r>
          </w:p>
        </w:tc>
        <w:tc>
          <w:tcPr>
            <w:tcW w:w="1701" w:type="dxa"/>
          </w:tcPr>
          <w:p w:rsidR="004707F9" w:rsidRPr="004707F9" w:rsidRDefault="004707F9">
            <w:pPr>
              <w:rPr>
                <w:rFonts w:ascii="Times New Roman" w:hAnsi="Times New Roman"/>
                <w:sz w:val="24"/>
                <w:szCs w:val="24"/>
              </w:rPr>
            </w:pPr>
            <w:r w:rsidRPr="004707F9">
              <w:rPr>
                <w:rFonts w:ascii="Times New Roman" w:hAnsi="Times New Roman"/>
                <w:sz w:val="24"/>
                <w:szCs w:val="24"/>
              </w:rPr>
              <w:t>Pag.   22</w:t>
            </w:r>
          </w:p>
        </w:tc>
      </w:tr>
    </w:tbl>
    <w:p w:rsidR="00643359" w:rsidRDefault="00643359">
      <w:pPr>
        <w:rPr>
          <w:rFonts w:ascii="Times New Roman" w:hAnsi="Times New Roman"/>
          <w:b/>
          <w:sz w:val="24"/>
          <w:szCs w:val="24"/>
        </w:rPr>
      </w:pPr>
    </w:p>
    <w:p w:rsidR="00643359" w:rsidRDefault="00643359">
      <w:pPr>
        <w:rPr>
          <w:rFonts w:ascii="Times New Roman" w:hAnsi="Times New Roman"/>
          <w:b/>
          <w:sz w:val="24"/>
          <w:szCs w:val="24"/>
        </w:rPr>
      </w:pPr>
    </w:p>
    <w:p w:rsidR="00643359" w:rsidRDefault="00643359">
      <w:pPr>
        <w:rPr>
          <w:rFonts w:ascii="Times New Roman" w:hAnsi="Times New Roman"/>
          <w:b/>
          <w:sz w:val="24"/>
          <w:szCs w:val="24"/>
        </w:rPr>
      </w:pPr>
    </w:p>
    <w:p w:rsidR="00643359" w:rsidRDefault="00643359">
      <w:pPr>
        <w:rPr>
          <w:rFonts w:ascii="Times New Roman" w:hAnsi="Times New Roman"/>
          <w:b/>
          <w:sz w:val="24"/>
          <w:szCs w:val="24"/>
        </w:rPr>
      </w:pPr>
    </w:p>
    <w:p w:rsidR="009336E2" w:rsidRDefault="009336E2">
      <w:pPr>
        <w:rPr>
          <w:rFonts w:ascii="Times New Roman" w:hAnsi="Times New Roman"/>
          <w:b/>
          <w:sz w:val="24"/>
          <w:szCs w:val="24"/>
        </w:rPr>
      </w:pPr>
      <w:r>
        <w:rPr>
          <w:rFonts w:ascii="Times New Roman" w:hAnsi="Times New Roman"/>
          <w:b/>
          <w:sz w:val="24"/>
          <w:szCs w:val="24"/>
        </w:rPr>
        <w:br w:type="page"/>
      </w:r>
    </w:p>
    <w:p w:rsidR="00B46586" w:rsidRDefault="00B46586" w:rsidP="00B46586">
      <w:pPr>
        <w:autoSpaceDE w:val="0"/>
        <w:autoSpaceDN w:val="0"/>
        <w:adjustRightInd w:val="0"/>
        <w:spacing w:after="0" w:line="240" w:lineRule="auto"/>
        <w:rPr>
          <w:rFonts w:ascii="Garamond" w:eastAsiaTheme="minorHAnsi" w:hAnsi="Garamond" w:cs="CenturyGothic"/>
        </w:rPr>
      </w:pPr>
    </w:p>
    <w:p w:rsidR="00B46586" w:rsidRDefault="00B46586" w:rsidP="00B46586">
      <w:pPr>
        <w:autoSpaceDE w:val="0"/>
        <w:autoSpaceDN w:val="0"/>
        <w:adjustRightInd w:val="0"/>
        <w:spacing w:after="0" w:line="240" w:lineRule="auto"/>
        <w:rPr>
          <w:rFonts w:ascii="Garamond" w:eastAsiaTheme="minorHAnsi" w:hAnsi="Garamond" w:cs="CenturyGothic"/>
        </w:rPr>
      </w:pPr>
    </w:p>
    <w:p w:rsidR="00B46586" w:rsidRPr="004659C1" w:rsidRDefault="00B46586" w:rsidP="00B46586">
      <w:pPr>
        <w:autoSpaceDE w:val="0"/>
        <w:autoSpaceDN w:val="0"/>
        <w:adjustRightInd w:val="0"/>
        <w:spacing w:after="0" w:line="360" w:lineRule="auto"/>
        <w:jc w:val="both"/>
        <w:rPr>
          <w:rFonts w:ascii="Garamond" w:hAnsi="Garamond"/>
          <w:sz w:val="24"/>
          <w:szCs w:val="24"/>
        </w:rPr>
      </w:pPr>
      <w:r w:rsidRPr="004659C1">
        <w:rPr>
          <w:rFonts w:ascii="Garamond" w:hAnsi="Garamond"/>
          <w:sz w:val="24"/>
          <w:szCs w:val="24"/>
        </w:rPr>
        <w:t>La presente relazione ha lo scopo di illustrare i risultati di performance ottenuti dall’Azienda nel corso del 201</w:t>
      </w:r>
      <w:r w:rsidR="007907C9">
        <w:rPr>
          <w:rFonts w:ascii="Garamond" w:hAnsi="Garamond"/>
          <w:sz w:val="24"/>
          <w:szCs w:val="24"/>
        </w:rPr>
        <w:t>5.</w:t>
      </w:r>
    </w:p>
    <w:p w:rsidR="000F7862" w:rsidRPr="004659C1" w:rsidRDefault="000F7862" w:rsidP="007907C9">
      <w:pPr>
        <w:autoSpaceDE w:val="0"/>
        <w:autoSpaceDN w:val="0"/>
        <w:adjustRightInd w:val="0"/>
        <w:spacing w:after="0" w:line="360" w:lineRule="auto"/>
        <w:jc w:val="both"/>
        <w:rPr>
          <w:rFonts w:ascii="Garamond" w:hAnsi="Garamond"/>
          <w:sz w:val="24"/>
          <w:szCs w:val="24"/>
        </w:rPr>
      </w:pPr>
      <w:r w:rsidRPr="004659C1">
        <w:rPr>
          <w:rFonts w:ascii="Garamond" w:hAnsi="Garamond"/>
          <w:sz w:val="24"/>
          <w:szCs w:val="24"/>
        </w:rPr>
        <w:t xml:space="preserve">La presente relazione </w:t>
      </w:r>
      <w:r w:rsidR="00AA4F36">
        <w:rPr>
          <w:rFonts w:ascii="Garamond" w:hAnsi="Garamond"/>
          <w:sz w:val="24"/>
          <w:szCs w:val="24"/>
        </w:rPr>
        <w:t>viene redatta coerentemente</w:t>
      </w:r>
      <w:r w:rsidRPr="004659C1">
        <w:rPr>
          <w:rFonts w:ascii="Garamond" w:hAnsi="Garamond"/>
          <w:sz w:val="24"/>
          <w:szCs w:val="24"/>
        </w:rPr>
        <w:t xml:space="preserve"> </w:t>
      </w:r>
      <w:r w:rsidR="00E7230E">
        <w:rPr>
          <w:rFonts w:ascii="Garamond" w:hAnsi="Garamond"/>
          <w:sz w:val="24"/>
          <w:szCs w:val="24"/>
        </w:rPr>
        <w:t xml:space="preserve">con </w:t>
      </w:r>
      <w:r w:rsidR="00AA4F36">
        <w:rPr>
          <w:rFonts w:ascii="Garamond" w:hAnsi="Garamond"/>
          <w:sz w:val="24"/>
          <w:szCs w:val="24"/>
        </w:rPr>
        <w:t>quanto</w:t>
      </w:r>
      <w:r w:rsidRPr="004659C1">
        <w:rPr>
          <w:rFonts w:ascii="Garamond" w:hAnsi="Garamond"/>
          <w:sz w:val="24"/>
          <w:szCs w:val="24"/>
        </w:rPr>
        <w:t xml:space="preserve"> previsto dall’art. 10 del</w:t>
      </w:r>
      <w:r w:rsidR="004659C1" w:rsidRPr="004659C1">
        <w:rPr>
          <w:rFonts w:ascii="Garamond" w:hAnsi="Garamond"/>
          <w:sz w:val="24"/>
          <w:szCs w:val="24"/>
        </w:rPr>
        <w:t xml:space="preserve"> </w:t>
      </w:r>
      <w:r w:rsidRPr="004659C1">
        <w:rPr>
          <w:rFonts w:ascii="Garamond" w:hAnsi="Garamond"/>
          <w:sz w:val="24"/>
          <w:szCs w:val="24"/>
        </w:rPr>
        <w:t>decreto legislativo n.1</w:t>
      </w:r>
      <w:r w:rsidR="00CF7FDC" w:rsidRPr="004659C1">
        <w:rPr>
          <w:rFonts w:ascii="Garamond" w:hAnsi="Garamond"/>
          <w:sz w:val="24"/>
          <w:szCs w:val="24"/>
        </w:rPr>
        <w:t xml:space="preserve">50/2009 </w:t>
      </w:r>
      <w:r w:rsidR="00E85674">
        <w:rPr>
          <w:rFonts w:ascii="Garamond" w:hAnsi="Garamond"/>
          <w:sz w:val="24"/>
          <w:szCs w:val="24"/>
        </w:rPr>
        <w:t>“</w:t>
      </w:r>
      <w:r w:rsidR="00E85674" w:rsidRPr="00E85674">
        <w:rPr>
          <w:rFonts w:ascii="Garamond" w:hAnsi="Garamond"/>
          <w:sz w:val="24"/>
          <w:szCs w:val="24"/>
        </w:rPr>
        <w:t>Attuazione della legge 4 marzo 2009, n. 15, in</w:t>
      </w:r>
      <w:r w:rsidR="00E85674">
        <w:rPr>
          <w:rFonts w:ascii="Garamond" w:hAnsi="Garamond"/>
          <w:sz w:val="24"/>
          <w:szCs w:val="24"/>
        </w:rPr>
        <w:t xml:space="preserve"> </w:t>
      </w:r>
      <w:r w:rsidR="00E85674" w:rsidRPr="00E85674">
        <w:rPr>
          <w:rFonts w:ascii="Garamond" w:hAnsi="Garamond"/>
          <w:sz w:val="24"/>
          <w:szCs w:val="24"/>
        </w:rPr>
        <w:t>materia di ottimizzazione della produttività del lavoro</w:t>
      </w:r>
      <w:r w:rsidR="00E85674">
        <w:rPr>
          <w:rFonts w:ascii="Garamond" w:hAnsi="Garamond"/>
          <w:sz w:val="24"/>
          <w:szCs w:val="24"/>
        </w:rPr>
        <w:t xml:space="preserve"> pubblico e di effi</w:t>
      </w:r>
      <w:r w:rsidR="00E85674" w:rsidRPr="00E85674">
        <w:rPr>
          <w:rFonts w:ascii="Garamond" w:hAnsi="Garamond"/>
          <w:sz w:val="24"/>
          <w:szCs w:val="24"/>
        </w:rPr>
        <w:t>cienza e trasparenza delle pubbliche</w:t>
      </w:r>
      <w:r w:rsidR="00E85674">
        <w:rPr>
          <w:rFonts w:ascii="Garamond" w:hAnsi="Garamond"/>
          <w:sz w:val="24"/>
          <w:szCs w:val="24"/>
        </w:rPr>
        <w:t xml:space="preserve"> amministrazioni” </w:t>
      </w:r>
      <w:r w:rsidR="00706ECE">
        <w:rPr>
          <w:rFonts w:ascii="Garamond" w:hAnsi="Garamond"/>
          <w:sz w:val="24"/>
          <w:szCs w:val="24"/>
        </w:rPr>
        <w:t>.</w:t>
      </w:r>
    </w:p>
    <w:p w:rsidR="000F7862" w:rsidRPr="004659C1" w:rsidRDefault="000F7862" w:rsidP="00E85674">
      <w:pPr>
        <w:autoSpaceDE w:val="0"/>
        <w:autoSpaceDN w:val="0"/>
        <w:adjustRightInd w:val="0"/>
        <w:spacing w:after="0" w:line="360" w:lineRule="auto"/>
        <w:jc w:val="both"/>
        <w:rPr>
          <w:rFonts w:ascii="Garamond" w:hAnsi="Garamond"/>
          <w:sz w:val="24"/>
          <w:szCs w:val="24"/>
        </w:rPr>
      </w:pPr>
      <w:r w:rsidRPr="004659C1">
        <w:rPr>
          <w:rFonts w:ascii="Garamond" w:hAnsi="Garamond"/>
          <w:sz w:val="24"/>
          <w:szCs w:val="24"/>
        </w:rPr>
        <w:t>La redazione della Relazione costituisce:</w:t>
      </w:r>
    </w:p>
    <w:p w:rsidR="000F7862" w:rsidRPr="004659C1" w:rsidRDefault="000F7862" w:rsidP="00CF7FDC">
      <w:pPr>
        <w:autoSpaceDE w:val="0"/>
        <w:autoSpaceDN w:val="0"/>
        <w:adjustRightInd w:val="0"/>
        <w:spacing w:after="0" w:line="360" w:lineRule="auto"/>
        <w:jc w:val="both"/>
        <w:rPr>
          <w:rFonts w:ascii="Garamond" w:hAnsi="Garamond"/>
          <w:sz w:val="24"/>
          <w:szCs w:val="24"/>
        </w:rPr>
      </w:pPr>
      <w:r w:rsidRPr="004659C1">
        <w:rPr>
          <w:rFonts w:ascii="Garamond" w:hAnsi="Garamond"/>
          <w:sz w:val="24"/>
          <w:szCs w:val="24"/>
        </w:rPr>
        <w:t>- il completamento del ciclo della performance con la verifica, e la conseguente</w:t>
      </w:r>
      <w:r w:rsidR="00CF7FDC" w:rsidRPr="004659C1">
        <w:rPr>
          <w:rFonts w:ascii="Garamond" w:hAnsi="Garamond"/>
          <w:sz w:val="24"/>
          <w:szCs w:val="24"/>
        </w:rPr>
        <w:t xml:space="preserve"> </w:t>
      </w:r>
      <w:r w:rsidRPr="004659C1">
        <w:rPr>
          <w:rFonts w:ascii="Garamond" w:hAnsi="Garamond"/>
          <w:sz w:val="24"/>
          <w:szCs w:val="24"/>
        </w:rPr>
        <w:t>validazione, della comprensibilità, conformità e attendibilità dei dati e delle</w:t>
      </w:r>
      <w:r w:rsidR="00CF7FDC" w:rsidRPr="004659C1">
        <w:rPr>
          <w:rFonts w:ascii="Garamond" w:hAnsi="Garamond"/>
          <w:sz w:val="24"/>
          <w:szCs w:val="24"/>
        </w:rPr>
        <w:t xml:space="preserve"> </w:t>
      </w:r>
      <w:r w:rsidRPr="004659C1">
        <w:rPr>
          <w:rFonts w:ascii="Garamond" w:hAnsi="Garamond"/>
          <w:sz w:val="24"/>
          <w:szCs w:val="24"/>
        </w:rPr>
        <w:t>informazioni riportate nella Relazione, at</w:t>
      </w:r>
      <w:r w:rsidR="00E85674">
        <w:rPr>
          <w:rFonts w:ascii="Garamond" w:hAnsi="Garamond"/>
          <w:sz w:val="24"/>
          <w:szCs w:val="24"/>
        </w:rPr>
        <w:t>traverso la quale l’Azienda</w:t>
      </w:r>
      <w:r w:rsidR="00CF7FDC" w:rsidRPr="004659C1">
        <w:rPr>
          <w:rFonts w:ascii="Garamond" w:hAnsi="Garamond"/>
          <w:sz w:val="24"/>
          <w:szCs w:val="24"/>
        </w:rPr>
        <w:t xml:space="preserve"> </w:t>
      </w:r>
      <w:r w:rsidRPr="004659C1">
        <w:rPr>
          <w:rFonts w:ascii="Garamond" w:hAnsi="Garamond"/>
          <w:sz w:val="24"/>
          <w:szCs w:val="24"/>
        </w:rPr>
        <w:t>rendiconta i risultati raggiunti (art. 4, comma 2, lettera f, del decreto</w:t>
      </w:r>
      <w:r w:rsidR="00E85674">
        <w:rPr>
          <w:rFonts w:ascii="Garamond" w:hAnsi="Garamond"/>
          <w:sz w:val="24"/>
          <w:szCs w:val="24"/>
        </w:rPr>
        <w:t xml:space="preserve"> 150/2009</w:t>
      </w:r>
      <w:r w:rsidRPr="004659C1">
        <w:rPr>
          <w:rFonts w:ascii="Garamond" w:hAnsi="Garamond"/>
          <w:sz w:val="24"/>
          <w:szCs w:val="24"/>
        </w:rPr>
        <w:t>);</w:t>
      </w:r>
    </w:p>
    <w:p w:rsidR="000F7862" w:rsidRPr="004659C1" w:rsidRDefault="000F7862" w:rsidP="00E85674">
      <w:pPr>
        <w:autoSpaceDE w:val="0"/>
        <w:autoSpaceDN w:val="0"/>
        <w:adjustRightInd w:val="0"/>
        <w:spacing w:after="0" w:line="360" w:lineRule="auto"/>
        <w:jc w:val="both"/>
        <w:rPr>
          <w:rFonts w:ascii="Garamond" w:eastAsiaTheme="minorHAnsi" w:hAnsi="Garamond" w:cs="CenturyGothic"/>
          <w:sz w:val="24"/>
          <w:szCs w:val="24"/>
        </w:rPr>
      </w:pPr>
      <w:r w:rsidRPr="004659C1">
        <w:rPr>
          <w:rFonts w:ascii="Garamond" w:eastAsiaTheme="minorHAnsi" w:hAnsi="Garamond" w:cs="CenturyGothic"/>
          <w:sz w:val="24"/>
          <w:szCs w:val="24"/>
        </w:rPr>
        <w:t xml:space="preserve">- il </w:t>
      </w:r>
      <w:r w:rsidR="00816CFF">
        <w:rPr>
          <w:rFonts w:ascii="Garamond" w:eastAsiaTheme="minorHAnsi" w:hAnsi="Garamond" w:cs="CenturyGothic"/>
          <w:sz w:val="24"/>
          <w:szCs w:val="24"/>
        </w:rPr>
        <w:t xml:space="preserve">documento che consente il </w:t>
      </w:r>
      <w:r w:rsidRPr="004659C1">
        <w:rPr>
          <w:rFonts w:ascii="Garamond" w:eastAsiaTheme="minorHAnsi" w:hAnsi="Garamond" w:cs="CenturyGothic"/>
          <w:sz w:val="24"/>
          <w:szCs w:val="24"/>
        </w:rPr>
        <w:t>punto di passaggio, formale e sostanziale, dal processo di misurazione e valutazione e dalla rendicontazione dei risultati raggiunti, all’accesso a</w:t>
      </w:r>
      <w:r w:rsidR="00E85674">
        <w:rPr>
          <w:rFonts w:ascii="Garamond" w:eastAsiaTheme="minorHAnsi" w:hAnsi="Garamond" w:cs="CenturyGothic"/>
          <w:sz w:val="24"/>
          <w:szCs w:val="24"/>
        </w:rPr>
        <w:t>l</w:t>
      </w:r>
      <w:r w:rsidRPr="004659C1">
        <w:rPr>
          <w:rFonts w:ascii="Garamond" w:eastAsiaTheme="minorHAnsi" w:hAnsi="Garamond" w:cs="CenturyGothic"/>
          <w:sz w:val="24"/>
          <w:szCs w:val="24"/>
        </w:rPr>
        <w:t xml:space="preserve"> sistem</w:t>
      </w:r>
      <w:r w:rsidR="00E85674">
        <w:rPr>
          <w:rFonts w:ascii="Garamond" w:eastAsiaTheme="minorHAnsi" w:hAnsi="Garamond" w:cs="CenturyGothic"/>
          <w:sz w:val="24"/>
          <w:szCs w:val="24"/>
        </w:rPr>
        <w:t>a</w:t>
      </w:r>
      <w:r w:rsidRPr="004659C1">
        <w:rPr>
          <w:rFonts w:ascii="Garamond" w:eastAsiaTheme="minorHAnsi" w:hAnsi="Garamond" w:cs="CenturyGothic"/>
          <w:sz w:val="24"/>
          <w:szCs w:val="24"/>
        </w:rPr>
        <w:t xml:space="preserve"> premiant</w:t>
      </w:r>
      <w:r w:rsidR="00E85674">
        <w:rPr>
          <w:rFonts w:ascii="Garamond" w:eastAsiaTheme="minorHAnsi" w:hAnsi="Garamond" w:cs="CenturyGothic"/>
          <w:sz w:val="24"/>
          <w:szCs w:val="24"/>
        </w:rPr>
        <w:t>e</w:t>
      </w:r>
      <w:r w:rsidRPr="004659C1">
        <w:rPr>
          <w:rFonts w:ascii="Garamond" w:eastAsiaTheme="minorHAnsi" w:hAnsi="Garamond" w:cs="CenturyGothic"/>
          <w:sz w:val="24"/>
          <w:szCs w:val="24"/>
        </w:rPr>
        <w:t>.</w:t>
      </w:r>
    </w:p>
    <w:p w:rsidR="00CF7FDC" w:rsidRDefault="00CF7FDC" w:rsidP="00CF7FDC">
      <w:pPr>
        <w:autoSpaceDE w:val="0"/>
        <w:autoSpaceDN w:val="0"/>
        <w:adjustRightInd w:val="0"/>
        <w:spacing w:after="0" w:line="240" w:lineRule="auto"/>
        <w:rPr>
          <w:rFonts w:ascii="Garamond" w:eastAsiaTheme="minorHAnsi" w:hAnsi="Garamond" w:cs="CenturyGothic"/>
          <w:sz w:val="24"/>
          <w:szCs w:val="24"/>
        </w:rPr>
      </w:pPr>
    </w:p>
    <w:p w:rsidR="00B46586" w:rsidRDefault="008929EB" w:rsidP="00CF7FDC">
      <w:pPr>
        <w:autoSpaceDE w:val="0"/>
        <w:autoSpaceDN w:val="0"/>
        <w:adjustRightInd w:val="0"/>
        <w:spacing w:after="0" w:line="240" w:lineRule="auto"/>
        <w:rPr>
          <w:rFonts w:ascii="Garamond" w:eastAsiaTheme="minorHAnsi" w:hAnsi="Garamond" w:cs="CenturyGothic"/>
          <w:b/>
          <w:sz w:val="24"/>
          <w:szCs w:val="24"/>
        </w:rPr>
      </w:pPr>
      <w:r w:rsidRPr="008929EB">
        <w:rPr>
          <w:rFonts w:ascii="Garamond" w:eastAsiaTheme="minorHAnsi" w:hAnsi="Garamond" w:cs="CenturyGothic"/>
          <w:b/>
          <w:sz w:val="24"/>
          <w:szCs w:val="24"/>
        </w:rPr>
        <w:t>Introduzione</w:t>
      </w:r>
    </w:p>
    <w:p w:rsidR="008929EB" w:rsidRPr="008929EB" w:rsidRDefault="008929EB" w:rsidP="00CF7FDC">
      <w:pPr>
        <w:autoSpaceDE w:val="0"/>
        <w:autoSpaceDN w:val="0"/>
        <w:adjustRightInd w:val="0"/>
        <w:spacing w:after="0" w:line="240" w:lineRule="auto"/>
        <w:rPr>
          <w:rFonts w:ascii="Garamond" w:eastAsiaTheme="minorHAnsi" w:hAnsi="Garamond" w:cs="CenturyGothic"/>
          <w:b/>
          <w:sz w:val="24"/>
          <w:szCs w:val="24"/>
        </w:rPr>
      </w:pPr>
    </w:p>
    <w:p w:rsidR="005512A7" w:rsidRPr="007907C9" w:rsidRDefault="005512A7" w:rsidP="005512A7">
      <w:pPr>
        <w:spacing w:after="0" w:line="360" w:lineRule="auto"/>
        <w:jc w:val="both"/>
        <w:rPr>
          <w:rFonts w:ascii="Garamond" w:hAnsi="Garamond"/>
          <w:sz w:val="24"/>
          <w:szCs w:val="24"/>
        </w:rPr>
      </w:pPr>
      <w:r w:rsidRPr="007907C9">
        <w:rPr>
          <w:rFonts w:ascii="Garamond" w:hAnsi="Garamond"/>
          <w:sz w:val="24"/>
          <w:szCs w:val="24"/>
        </w:rPr>
        <w:t>Dal primo gennaio è stata costituita l'Azienda per l'assistenza sanitaria n. 5 "Friuli Occidentale", prevista dalla riforma (</w:t>
      </w:r>
      <w:hyperlink r:id="rId9" w:tooltip="Legge Regionale 16 ottobre 2014 n. 17). [il collegamento aprirà una nuova finestra]" w:history="1">
        <w:r w:rsidRPr="007907C9">
          <w:rPr>
            <w:rFonts w:ascii="Garamond" w:hAnsi="Garamond"/>
            <w:sz w:val="24"/>
            <w:szCs w:val="24"/>
          </w:rPr>
          <w:t>Legge Regionale 16 ottobre 2014 n. 17</w:t>
        </w:r>
      </w:hyperlink>
      <w:r w:rsidRPr="007907C9">
        <w:rPr>
          <w:rFonts w:ascii="Garamond" w:hAnsi="Garamond"/>
          <w:sz w:val="24"/>
          <w:szCs w:val="24"/>
        </w:rPr>
        <w:t>) che riunisce l'Azienda per i Servizi Sanitari n. 6 "Friuli Occidentale" (ASS6) e l'Azienda Ospedaliera Santa Maria degli Angeli (AOPN).</w:t>
      </w:r>
    </w:p>
    <w:p w:rsidR="008929EB" w:rsidRPr="008929EB" w:rsidRDefault="008929EB" w:rsidP="008929EB">
      <w:pPr>
        <w:autoSpaceDE w:val="0"/>
        <w:autoSpaceDN w:val="0"/>
        <w:adjustRightInd w:val="0"/>
        <w:spacing w:line="360" w:lineRule="auto"/>
        <w:jc w:val="both"/>
        <w:rPr>
          <w:rFonts w:ascii="Garamond" w:hAnsi="Garamond" w:cstheme="minorHAnsi"/>
          <w:sz w:val="24"/>
          <w:szCs w:val="24"/>
        </w:rPr>
      </w:pPr>
      <w:r w:rsidRPr="008929EB">
        <w:rPr>
          <w:rFonts w:ascii="Garamond" w:hAnsi="Garamond" w:cstheme="minorHAnsi"/>
          <w:sz w:val="24"/>
          <w:szCs w:val="24"/>
        </w:rPr>
        <w:t xml:space="preserve">Con decreto del Direttore Generale n. 575 del 30 ottobre 2015 è stata adottata la proposta di atto aziendale che è stato inviato alla Direzione Centrale Salute. Con decreto n. 49 del 29 gennaio 2016 è stato </w:t>
      </w:r>
      <w:r w:rsidR="00070205">
        <w:rPr>
          <w:rFonts w:ascii="Garamond" w:hAnsi="Garamond" w:cstheme="minorHAnsi"/>
          <w:sz w:val="24"/>
          <w:szCs w:val="24"/>
        </w:rPr>
        <w:t xml:space="preserve">riadattato la proposta di atto aziendale </w:t>
      </w:r>
      <w:r w:rsidRPr="008929EB">
        <w:rPr>
          <w:rFonts w:ascii="Garamond" w:hAnsi="Garamond" w:cstheme="minorHAnsi"/>
          <w:sz w:val="24"/>
          <w:szCs w:val="24"/>
        </w:rPr>
        <w:t>recependo le osservazioni della Direzione Centrale</w:t>
      </w:r>
      <w:r w:rsidR="009336E2">
        <w:rPr>
          <w:rFonts w:ascii="Garamond" w:hAnsi="Garamond" w:cstheme="minorHAnsi"/>
          <w:sz w:val="24"/>
          <w:szCs w:val="24"/>
        </w:rPr>
        <w:t xml:space="preserve"> Salute (in seguito DCS)</w:t>
      </w:r>
      <w:r w:rsidRPr="008929EB">
        <w:rPr>
          <w:rFonts w:ascii="Garamond" w:hAnsi="Garamond" w:cstheme="minorHAnsi"/>
          <w:sz w:val="24"/>
          <w:szCs w:val="24"/>
        </w:rPr>
        <w:t xml:space="preserve">. </w:t>
      </w:r>
    </w:p>
    <w:p w:rsidR="008929EB" w:rsidRPr="008929EB" w:rsidRDefault="008929EB" w:rsidP="008929EB">
      <w:pPr>
        <w:autoSpaceDE w:val="0"/>
        <w:autoSpaceDN w:val="0"/>
        <w:adjustRightInd w:val="0"/>
        <w:spacing w:line="360" w:lineRule="auto"/>
        <w:jc w:val="both"/>
        <w:rPr>
          <w:rFonts w:ascii="Garamond" w:hAnsi="Garamond" w:cstheme="minorHAnsi"/>
          <w:sz w:val="24"/>
          <w:szCs w:val="24"/>
        </w:rPr>
      </w:pPr>
      <w:r w:rsidRPr="008929EB">
        <w:rPr>
          <w:rFonts w:ascii="Garamond" w:hAnsi="Garamond" w:cstheme="minorHAnsi"/>
          <w:sz w:val="24"/>
          <w:szCs w:val="24"/>
        </w:rPr>
        <w:t xml:space="preserve">Con decreto del Direttore Generale n. 100 del 1 marzo 2016 è stato adottato l’atto aziendale dell’Assistenza Sanitaria n. 5 “Friuli Occidentale” (AAS5) nonché il percorso attuativo. </w:t>
      </w:r>
    </w:p>
    <w:p w:rsidR="008929EB" w:rsidRPr="008929EB" w:rsidRDefault="008929EB" w:rsidP="008929EB">
      <w:pPr>
        <w:autoSpaceDE w:val="0"/>
        <w:autoSpaceDN w:val="0"/>
        <w:adjustRightInd w:val="0"/>
        <w:spacing w:line="360" w:lineRule="auto"/>
        <w:jc w:val="both"/>
        <w:rPr>
          <w:rFonts w:ascii="Garamond" w:hAnsi="Garamond" w:cs="Calibri"/>
          <w:sz w:val="24"/>
          <w:szCs w:val="24"/>
        </w:rPr>
      </w:pPr>
      <w:r w:rsidRPr="008929EB">
        <w:rPr>
          <w:rFonts w:ascii="Garamond" w:hAnsi="Garamond" w:cs="Calibri"/>
          <w:sz w:val="24"/>
          <w:szCs w:val="24"/>
        </w:rPr>
        <w:t>L’AAS5</w:t>
      </w:r>
      <w:r w:rsidRPr="008929EB">
        <w:rPr>
          <w:rFonts w:ascii="Garamond" w:hAnsi="Garamond" w:cstheme="minorHAnsi"/>
          <w:sz w:val="24"/>
          <w:szCs w:val="24"/>
        </w:rPr>
        <w:t xml:space="preserve"> </w:t>
      </w:r>
      <w:r w:rsidRPr="008929EB">
        <w:rPr>
          <w:rFonts w:ascii="Garamond" w:hAnsi="Garamond" w:cs="Calibri"/>
          <w:sz w:val="24"/>
          <w:szCs w:val="24"/>
        </w:rPr>
        <w:t>svolge la propria attività secondo i seguenti principi di funzionamento</w:t>
      </w:r>
      <w:r w:rsidR="00706ECE">
        <w:rPr>
          <w:rFonts w:ascii="Garamond" w:hAnsi="Garamond" w:cs="Calibri"/>
          <w:sz w:val="24"/>
          <w:szCs w:val="24"/>
        </w:rPr>
        <w:t xml:space="preserve"> (art. 4 “Atto aziendale”)</w:t>
      </w:r>
      <w:r w:rsidRPr="008929EB">
        <w:rPr>
          <w:rFonts w:ascii="Garamond" w:hAnsi="Garamond" w:cs="Calibri"/>
          <w:sz w:val="24"/>
          <w:szCs w:val="24"/>
        </w:rPr>
        <w:t>:</w:t>
      </w:r>
    </w:p>
    <w:p w:rsidR="008929EB" w:rsidRPr="008929EB" w:rsidRDefault="008929EB" w:rsidP="008929EB">
      <w:pPr>
        <w:numPr>
          <w:ilvl w:val="0"/>
          <w:numId w:val="37"/>
        </w:numPr>
        <w:spacing w:after="0" w:line="360" w:lineRule="auto"/>
        <w:ind w:hanging="357"/>
        <w:jc w:val="both"/>
        <w:rPr>
          <w:rFonts w:ascii="Garamond" w:hAnsi="Garamond" w:cs="Calibri"/>
          <w:sz w:val="24"/>
          <w:szCs w:val="24"/>
        </w:rPr>
      </w:pPr>
      <w:r w:rsidRPr="008929EB">
        <w:rPr>
          <w:rFonts w:ascii="Garamond" w:hAnsi="Garamond" w:cs="Calibri"/>
          <w:sz w:val="24"/>
          <w:szCs w:val="24"/>
        </w:rPr>
        <w:t xml:space="preserve">l’organizzazione ed il funzionamento si basano sul principio della distinzione delle funzioni di organizzazione, programmazione e controllo dalle funzioni </w:t>
      </w:r>
      <w:proofErr w:type="spellStart"/>
      <w:r w:rsidRPr="008929EB">
        <w:rPr>
          <w:rFonts w:ascii="Garamond" w:hAnsi="Garamond" w:cs="Calibri"/>
          <w:sz w:val="24"/>
          <w:szCs w:val="24"/>
        </w:rPr>
        <w:t>gestionali-tecnico-amministrative</w:t>
      </w:r>
      <w:proofErr w:type="spellEnd"/>
      <w:r w:rsidRPr="008929EB">
        <w:rPr>
          <w:rFonts w:ascii="Garamond" w:hAnsi="Garamond" w:cs="Calibri"/>
          <w:sz w:val="24"/>
          <w:szCs w:val="24"/>
        </w:rPr>
        <w:t xml:space="preserve"> e sanitarie;</w:t>
      </w:r>
    </w:p>
    <w:p w:rsidR="008929EB" w:rsidRPr="008929EB" w:rsidRDefault="008929EB" w:rsidP="008929EB">
      <w:pPr>
        <w:numPr>
          <w:ilvl w:val="0"/>
          <w:numId w:val="37"/>
        </w:numPr>
        <w:spacing w:after="0" w:line="360" w:lineRule="auto"/>
        <w:ind w:hanging="357"/>
        <w:jc w:val="both"/>
        <w:rPr>
          <w:rFonts w:ascii="Garamond" w:hAnsi="Garamond" w:cs="Calibri"/>
          <w:sz w:val="24"/>
          <w:szCs w:val="24"/>
        </w:rPr>
      </w:pPr>
      <w:r w:rsidRPr="008929EB">
        <w:rPr>
          <w:rFonts w:ascii="Garamond" w:hAnsi="Garamond" w:cs="Calibri"/>
          <w:sz w:val="24"/>
          <w:szCs w:val="24"/>
        </w:rPr>
        <w:t>la Direzione strategica definisce le strategie e le politiche aziendali, sulla base della pianificazione regionale; esercita le funzioni di indirizzo e controllo direzionale, verificando il corretto impiego delle risorse assegnate rispetto al raggiungimento degli obiettivi prefissati;</w:t>
      </w:r>
    </w:p>
    <w:p w:rsidR="008929EB" w:rsidRPr="008929EB" w:rsidRDefault="008929EB" w:rsidP="008929EB">
      <w:pPr>
        <w:numPr>
          <w:ilvl w:val="0"/>
          <w:numId w:val="37"/>
        </w:numPr>
        <w:spacing w:after="0" w:line="360" w:lineRule="auto"/>
        <w:ind w:hanging="357"/>
        <w:jc w:val="both"/>
        <w:rPr>
          <w:rFonts w:ascii="Garamond" w:hAnsi="Garamond" w:cs="Calibri"/>
          <w:sz w:val="24"/>
          <w:szCs w:val="24"/>
        </w:rPr>
      </w:pPr>
      <w:r w:rsidRPr="008929EB">
        <w:rPr>
          <w:rFonts w:ascii="Garamond" w:hAnsi="Garamond" w:cs="Calibri"/>
          <w:sz w:val="24"/>
          <w:szCs w:val="24"/>
        </w:rPr>
        <w:lastRenderedPageBreak/>
        <w:t>le Strutture operative aziendali esercitano le funzioni gestionali operative e gestiscono, in piena autonomia, l’attività sanitaria o amministrativa, garantendo il raggiungimento degli obiettivi assegnati, nell’ambito delle risorse umane, tecniche e finanziarie attribuite;</w:t>
      </w:r>
    </w:p>
    <w:p w:rsidR="008929EB" w:rsidRPr="008929EB" w:rsidRDefault="008929EB" w:rsidP="008929EB">
      <w:pPr>
        <w:numPr>
          <w:ilvl w:val="0"/>
          <w:numId w:val="37"/>
        </w:numPr>
        <w:spacing w:after="0" w:line="360" w:lineRule="auto"/>
        <w:ind w:hanging="357"/>
        <w:jc w:val="both"/>
        <w:rPr>
          <w:rFonts w:ascii="Garamond" w:hAnsi="Garamond" w:cs="Calibri"/>
          <w:sz w:val="24"/>
          <w:szCs w:val="24"/>
        </w:rPr>
      </w:pPr>
      <w:r w:rsidRPr="008929EB">
        <w:rPr>
          <w:rFonts w:ascii="Garamond" w:hAnsi="Garamond" w:cs="Calibri"/>
          <w:sz w:val="24"/>
          <w:szCs w:val="24"/>
        </w:rPr>
        <w:t xml:space="preserve">il processo di aziendalizzazione si fonda sulla </w:t>
      </w:r>
      <w:proofErr w:type="spellStart"/>
      <w:r w:rsidRPr="008929EB">
        <w:rPr>
          <w:rFonts w:ascii="Garamond" w:hAnsi="Garamond" w:cs="Calibri"/>
          <w:sz w:val="24"/>
          <w:szCs w:val="24"/>
        </w:rPr>
        <w:t>dipartimentalizzazione</w:t>
      </w:r>
      <w:proofErr w:type="spellEnd"/>
      <w:r w:rsidRPr="008929EB">
        <w:rPr>
          <w:rFonts w:ascii="Garamond" w:hAnsi="Garamond" w:cs="Calibri"/>
          <w:sz w:val="24"/>
          <w:szCs w:val="24"/>
        </w:rPr>
        <w:t>, ossia sullo sviluppo dei processi di integrazione strutturale e funzionale, tramite l’aggregazione delle strutture sanitarie e tecnico/amministrative, complesse e semplici a valenza dipartimentale, secondo macro aree di funzioni omogenee necessarie al perseguimento degli obiettivi aziendali;</w:t>
      </w:r>
    </w:p>
    <w:p w:rsidR="008929EB" w:rsidRPr="008929EB" w:rsidRDefault="008929EB" w:rsidP="008929EB">
      <w:pPr>
        <w:numPr>
          <w:ilvl w:val="0"/>
          <w:numId w:val="37"/>
        </w:numPr>
        <w:spacing w:after="0" w:line="360" w:lineRule="auto"/>
        <w:ind w:hanging="357"/>
        <w:jc w:val="both"/>
        <w:rPr>
          <w:rFonts w:ascii="Garamond" w:hAnsi="Garamond" w:cs="Calibri"/>
          <w:sz w:val="24"/>
          <w:szCs w:val="24"/>
        </w:rPr>
      </w:pPr>
      <w:r w:rsidRPr="008929EB">
        <w:rPr>
          <w:rFonts w:ascii="Garamond" w:hAnsi="Garamond" w:cs="Calibri"/>
          <w:sz w:val="24"/>
          <w:szCs w:val="24"/>
        </w:rPr>
        <w:t xml:space="preserve">l’organizzazione aziendale delle risorse umane, economiche e strumentali si ispira ai principi di efficacia, efficienza ed economicità, secondo i dettami del D. </w:t>
      </w:r>
      <w:proofErr w:type="spellStart"/>
      <w:r w:rsidRPr="008929EB">
        <w:rPr>
          <w:rFonts w:ascii="Garamond" w:hAnsi="Garamond" w:cs="Calibri"/>
          <w:sz w:val="24"/>
          <w:szCs w:val="24"/>
        </w:rPr>
        <w:t>Lgs</w:t>
      </w:r>
      <w:proofErr w:type="spellEnd"/>
      <w:r w:rsidRPr="008929EB">
        <w:rPr>
          <w:rFonts w:ascii="Garamond" w:hAnsi="Garamond" w:cs="Calibri"/>
          <w:sz w:val="24"/>
          <w:szCs w:val="24"/>
        </w:rPr>
        <w:t xml:space="preserve">. </w:t>
      </w:r>
      <w:proofErr w:type="spellStart"/>
      <w:r w:rsidRPr="008929EB">
        <w:rPr>
          <w:rFonts w:ascii="Garamond" w:hAnsi="Garamond" w:cs="Calibri"/>
          <w:sz w:val="24"/>
          <w:szCs w:val="24"/>
        </w:rPr>
        <w:t>nr</w:t>
      </w:r>
      <w:proofErr w:type="spellEnd"/>
      <w:r w:rsidRPr="008929EB">
        <w:rPr>
          <w:rFonts w:ascii="Garamond" w:hAnsi="Garamond" w:cs="Calibri"/>
          <w:sz w:val="24"/>
          <w:szCs w:val="24"/>
        </w:rPr>
        <w:t xml:space="preserve">. 165/01 e del </w:t>
      </w:r>
      <w:proofErr w:type="spellStart"/>
      <w:r w:rsidRPr="008929EB">
        <w:rPr>
          <w:rFonts w:ascii="Garamond" w:hAnsi="Garamond" w:cs="Calibri"/>
          <w:sz w:val="24"/>
          <w:szCs w:val="24"/>
        </w:rPr>
        <w:t>D.Lgs.</w:t>
      </w:r>
      <w:proofErr w:type="spellEnd"/>
      <w:r w:rsidRPr="008929EB">
        <w:rPr>
          <w:rFonts w:ascii="Garamond" w:hAnsi="Garamond" w:cs="Calibri"/>
          <w:sz w:val="24"/>
          <w:szCs w:val="24"/>
        </w:rPr>
        <w:t xml:space="preserve"> 502/92 e successive modificazioni ed integrazioni, compatibilmente alla complessità aziendale espressa anche in termini di funzioni attribuite e di prestazioni erogate;</w:t>
      </w:r>
    </w:p>
    <w:p w:rsidR="008929EB" w:rsidRPr="008929EB" w:rsidRDefault="008929EB" w:rsidP="008929EB">
      <w:pPr>
        <w:numPr>
          <w:ilvl w:val="0"/>
          <w:numId w:val="37"/>
        </w:numPr>
        <w:spacing w:after="0" w:line="360" w:lineRule="auto"/>
        <w:ind w:hanging="357"/>
        <w:jc w:val="both"/>
        <w:rPr>
          <w:rFonts w:ascii="Garamond" w:hAnsi="Garamond" w:cs="Calibri"/>
          <w:sz w:val="24"/>
          <w:szCs w:val="24"/>
        </w:rPr>
      </w:pPr>
      <w:r w:rsidRPr="008929EB">
        <w:rPr>
          <w:rFonts w:ascii="Garamond" w:hAnsi="Garamond" w:cs="Calibri"/>
          <w:sz w:val="24"/>
          <w:szCs w:val="24"/>
        </w:rPr>
        <w:t xml:space="preserve">il raggiungimento degli obiettivi di efficienza ed efficacia e appropriatezza è perseguito nel rispetto del vincolo di bilancio, attraverso l’equilibrio di costi e di ricavi, compresi i trasferimenti di risorse finanziarie; </w:t>
      </w:r>
    </w:p>
    <w:p w:rsidR="008929EB" w:rsidRPr="008929EB" w:rsidRDefault="008929EB" w:rsidP="008929EB">
      <w:pPr>
        <w:numPr>
          <w:ilvl w:val="0"/>
          <w:numId w:val="37"/>
        </w:numPr>
        <w:autoSpaceDE w:val="0"/>
        <w:autoSpaceDN w:val="0"/>
        <w:adjustRightInd w:val="0"/>
        <w:spacing w:after="0" w:line="360" w:lineRule="auto"/>
        <w:ind w:hanging="357"/>
        <w:jc w:val="both"/>
        <w:rPr>
          <w:rFonts w:ascii="Garamond" w:hAnsi="Garamond" w:cs="Calibri"/>
          <w:sz w:val="24"/>
          <w:szCs w:val="24"/>
        </w:rPr>
      </w:pPr>
      <w:r w:rsidRPr="008929EB">
        <w:rPr>
          <w:rFonts w:ascii="Garamond" w:hAnsi="Garamond" w:cs="Calibri"/>
          <w:sz w:val="24"/>
          <w:szCs w:val="24"/>
        </w:rPr>
        <w:t>l’azienda promuove la valorizzazione, lo sviluppo e la responsabilizzazione delle professioni sanitarie adottando nel proprio modello organizzativo quanto previsto dalla Legge 10 agosto 2000 n. 251 e dalla Legge Regionale 16 maggio 2007 n. 10.</w:t>
      </w:r>
    </w:p>
    <w:p w:rsidR="008929EB" w:rsidRPr="008929EB" w:rsidRDefault="008929EB" w:rsidP="008929EB">
      <w:pPr>
        <w:ind w:left="3"/>
        <w:jc w:val="both"/>
        <w:rPr>
          <w:rFonts w:ascii="Garamond" w:hAnsi="Garamond" w:cstheme="minorHAnsi"/>
          <w:sz w:val="24"/>
          <w:szCs w:val="24"/>
        </w:rPr>
      </w:pPr>
    </w:p>
    <w:p w:rsidR="008929EB" w:rsidRPr="008929EB" w:rsidRDefault="008929EB" w:rsidP="008929EB">
      <w:pPr>
        <w:spacing w:line="360" w:lineRule="auto"/>
        <w:ind w:left="3"/>
        <w:jc w:val="both"/>
        <w:rPr>
          <w:rFonts w:ascii="Garamond" w:hAnsi="Garamond" w:cstheme="minorHAnsi"/>
          <w:sz w:val="24"/>
          <w:szCs w:val="24"/>
        </w:rPr>
      </w:pPr>
      <w:r w:rsidRPr="008929EB">
        <w:rPr>
          <w:rFonts w:ascii="Garamond" w:hAnsi="Garamond" w:cs="Calibri"/>
          <w:sz w:val="24"/>
          <w:szCs w:val="24"/>
        </w:rPr>
        <w:t xml:space="preserve">L’AAS5 </w:t>
      </w:r>
      <w:r w:rsidRPr="008929EB">
        <w:rPr>
          <w:rFonts w:ascii="Garamond" w:hAnsi="Garamond" w:cstheme="minorHAnsi"/>
          <w:sz w:val="24"/>
          <w:szCs w:val="24"/>
        </w:rPr>
        <w:t xml:space="preserve">adotta il seguente modello organizzativo </w:t>
      </w:r>
      <w:r w:rsidR="00706ECE">
        <w:rPr>
          <w:rFonts w:ascii="Garamond" w:hAnsi="Garamond" w:cstheme="minorHAnsi"/>
          <w:sz w:val="24"/>
          <w:szCs w:val="24"/>
        </w:rPr>
        <w:t>(art. 20 “Atto aziendale”)</w:t>
      </w:r>
      <w:r w:rsidRPr="008929EB">
        <w:rPr>
          <w:rFonts w:ascii="Garamond" w:hAnsi="Garamond" w:cstheme="minorHAnsi"/>
          <w:sz w:val="24"/>
          <w:szCs w:val="24"/>
        </w:rPr>
        <w:t>:</w:t>
      </w:r>
    </w:p>
    <w:p w:rsidR="008929EB" w:rsidRPr="008929EB" w:rsidRDefault="008929EB" w:rsidP="008929EB">
      <w:pPr>
        <w:numPr>
          <w:ilvl w:val="0"/>
          <w:numId w:val="39"/>
        </w:numPr>
        <w:spacing w:after="0" w:line="360" w:lineRule="auto"/>
        <w:jc w:val="both"/>
        <w:rPr>
          <w:rFonts w:ascii="Garamond" w:hAnsi="Garamond" w:cstheme="minorHAnsi"/>
          <w:sz w:val="24"/>
          <w:szCs w:val="24"/>
        </w:rPr>
      </w:pPr>
      <w:r w:rsidRPr="008929EB">
        <w:rPr>
          <w:rFonts w:ascii="Garamond" w:hAnsi="Garamond" w:cstheme="minorHAnsi"/>
          <w:sz w:val="24"/>
          <w:szCs w:val="24"/>
        </w:rPr>
        <w:t>articolazione in strutture  operative e piattaforme assistenziali deputate a garantire i livelli essenziali di assistenza  e in strutture di supporto alle attività di erogazione dei LEA.</w:t>
      </w:r>
    </w:p>
    <w:p w:rsidR="008929EB" w:rsidRPr="008929EB" w:rsidRDefault="008929EB" w:rsidP="008929EB">
      <w:pPr>
        <w:numPr>
          <w:ilvl w:val="0"/>
          <w:numId w:val="39"/>
        </w:numPr>
        <w:spacing w:after="0" w:line="360" w:lineRule="auto"/>
        <w:jc w:val="both"/>
        <w:rPr>
          <w:rFonts w:ascii="Garamond" w:hAnsi="Garamond" w:cstheme="minorHAnsi"/>
          <w:sz w:val="24"/>
          <w:szCs w:val="24"/>
        </w:rPr>
      </w:pPr>
      <w:r w:rsidRPr="008929EB">
        <w:rPr>
          <w:rFonts w:ascii="Garamond" w:hAnsi="Garamond" w:cstheme="minorHAnsi"/>
          <w:sz w:val="24"/>
          <w:szCs w:val="24"/>
        </w:rPr>
        <w:t xml:space="preserve"> I livelli essenziali di assistenza (LEA) sono erogati da strutture/servizi:</w:t>
      </w:r>
    </w:p>
    <w:p w:rsidR="008929EB" w:rsidRPr="008929EB" w:rsidRDefault="008929EB" w:rsidP="008929EB">
      <w:pPr>
        <w:numPr>
          <w:ilvl w:val="0"/>
          <w:numId w:val="40"/>
        </w:numPr>
        <w:spacing w:after="0" w:line="360" w:lineRule="auto"/>
        <w:jc w:val="both"/>
        <w:rPr>
          <w:rFonts w:ascii="Garamond" w:hAnsi="Garamond" w:cstheme="minorHAnsi"/>
          <w:sz w:val="24"/>
          <w:szCs w:val="24"/>
        </w:rPr>
      </w:pPr>
      <w:r w:rsidRPr="008929EB">
        <w:rPr>
          <w:rFonts w:ascii="Garamond" w:hAnsi="Garamond" w:cstheme="minorHAnsi"/>
          <w:sz w:val="24"/>
          <w:szCs w:val="24"/>
        </w:rPr>
        <w:t>Aziendali:</w:t>
      </w:r>
    </w:p>
    <w:p w:rsidR="008929EB" w:rsidRPr="008929EB" w:rsidRDefault="00643359" w:rsidP="008929EB">
      <w:pPr>
        <w:numPr>
          <w:ilvl w:val="1"/>
          <w:numId w:val="39"/>
        </w:numPr>
        <w:spacing w:after="0" w:line="360" w:lineRule="auto"/>
        <w:jc w:val="both"/>
        <w:rPr>
          <w:rFonts w:ascii="Garamond" w:hAnsi="Garamond" w:cstheme="minorHAnsi"/>
          <w:sz w:val="24"/>
          <w:szCs w:val="24"/>
        </w:rPr>
      </w:pPr>
      <w:r>
        <w:rPr>
          <w:rFonts w:ascii="Garamond" w:hAnsi="Garamond" w:cstheme="minorHAnsi"/>
          <w:sz w:val="24"/>
          <w:szCs w:val="24"/>
        </w:rPr>
        <w:t>a valenza territoriale</w:t>
      </w:r>
      <w:r w:rsidR="008929EB" w:rsidRPr="008929EB">
        <w:rPr>
          <w:rFonts w:ascii="Garamond" w:hAnsi="Garamond" w:cstheme="minorHAnsi"/>
          <w:sz w:val="24"/>
          <w:szCs w:val="24"/>
        </w:rPr>
        <w:t xml:space="preserve">, che assicurano l’assistenza sanitaria collettiva in ambienti di vita e lavoro e  l’assistenza distrettuale, in conformità agli artt. 14 e seguenti della </w:t>
      </w:r>
      <w:proofErr w:type="spellStart"/>
      <w:r w:rsidR="008929EB" w:rsidRPr="008929EB">
        <w:rPr>
          <w:rFonts w:ascii="Garamond" w:hAnsi="Garamond" w:cstheme="minorHAnsi"/>
          <w:sz w:val="24"/>
          <w:szCs w:val="24"/>
        </w:rPr>
        <w:t>L.R.</w:t>
      </w:r>
      <w:proofErr w:type="spellEnd"/>
      <w:r w:rsidR="008929EB" w:rsidRPr="008929EB">
        <w:rPr>
          <w:rFonts w:ascii="Garamond" w:hAnsi="Garamond" w:cstheme="minorHAnsi"/>
          <w:sz w:val="24"/>
          <w:szCs w:val="24"/>
        </w:rPr>
        <w:t xml:space="preserve"> 17/2014;</w:t>
      </w:r>
    </w:p>
    <w:p w:rsidR="008929EB" w:rsidRPr="008929EB" w:rsidRDefault="008929EB" w:rsidP="008929EB">
      <w:pPr>
        <w:numPr>
          <w:ilvl w:val="1"/>
          <w:numId w:val="39"/>
        </w:numPr>
        <w:spacing w:after="0" w:line="360" w:lineRule="auto"/>
        <w:jc w:val="both"/>
        <w:rPr>
          <w:rFonts w:ascii="Garamond" w:hAnsi="Garamond" w:cstheme="minorHAnsi"/>
          <w:sz w:val="24"/>
          <w:szCs w:val="24"/>
        </w:rPr>
      </w:pPr>
      <w:r w:rsidRPr="008929EB">
        <w:rPr>
          <w:rFonts w:ascii="Garamond" w:hAnsi="Garamond" w:cstheme="minorHAnsi"/>
          <w:sz w:val="24"/>
          <w:szCs w:val="24"/>
        </w:rPr>
        <w:t xml:space="preserve">ospedaliere, che assicurano l’assistenza ai pazienti affetti da patologie a insorgenza acuta e con rilevante compromissione funzionale, nonché la gestione di attività programmabili richiedenti un </w:t>
      </w:r>
      <w:proofErr w:type="spellStart"/>
      <w:r w:rsidRPr="008929EB">
        <w:rPr>
          <w:rFonts w:ascii="Garamond" w:hAnsi="Garamond" w:cstheme="minorHAnsi"/>
          <w:sz w:val="24"/>
          <w:szCs w:val="24"/>
        </w:rPr>
        <w:t>setting</w:t>
      </w:r>
      <w:proofErr w:type="spellEnd"/>
      <w:r w:rsidRPr="008929EB">
        <w:rPr>
          <w:rFonts w:ascii="Garamond" w:hAnsi="Garamond" w:cstheme="minorHAnsi"/>
          <w:sz w:val="24"/>
          <w:szCs w:val="24"/>
        </w:rPr>
        <w:t xml:space="preserve"> tecnologicamente e </w:t>
      </w:r>
      <w:proofErr w:type="spellStart"/>
      <w:r w:rsidRPr="008929EB">
        <w:rPr>
          <w:rFonts w:ascii="Garamond" w:hAnsi="Garamond" w:cstheme="minorHAnsi"/>
          <w:sz w:val="24"/>
          <w:szCs w:val="24"/>
        </w:rPr>
        <w:t>organizzativamente</w:t>
      </w:r>
      <w:proofErr w:type="spellEnd"/>
      <w:r w:rsidRPr="008929EB">
        <w:rPr>
          <w:rFonts w:ascii="Garamond" w:hAnsi="Garamond" w:cstheme="minorHAnsi"/>
          <w:sz w:val="24"/>
          <w:szCs w:val="24"/>
        </w:rPr>
        <w:t xml:space="preserve"> complesso.</w:t>
      </w:r>
    </w:p>
    <w:p w:rsidR="008929EB" w:rsidRPr="008929EB" w:rsidRDefault="008929EB" w:rsidP="008929EB">
      <w:pPr>
        <w:spacing w:line="360" w:lineRule="auto"/>
        <w:jc w:val="both"/>
        <w:rPr>
          <w:rFonts w:ascii="Garamond" w:hAnsi="Garamond" w:cstheme="minorHAnsi"/>
          <w:sz w:val="24"/>
          <w:szCs w:val="24"/>
        </w:rPr>
      </w:pPr>
      <w:r w:rsidRPr="008929EB">
        <w:rPr>
          <w:rFonts w:ascii="Garamond" w:hAnsi="Garamond" w:cstheme="minorHAnsi"/>
          <w:sz w:val="24"/>
          <w:szCs w:val="24"/>
        </w:rPr>
        <w:t xml:space="preserve">              B) Privati accreditati.</w:t>
      </w:r>
    </w:p>
    <w:p w:rsidR="008929EB" w:rsidRPr="008929EB" w:rsidRDefault="008929EB" w:rsidP="008929EB">
      <w:pPr>
        <w:numPr>
          <w:ilvl w:val="0"/>
          <w:numId w:val="39"/>
        </w:numPr>
        <w:spacing w:after="0" w:line="360" w:lineRule="auto"/>
        <w:jc w:val="both"/>
        <w:rPr>
          <w:rFonts w:ascii="Garamond" w:hAnsi="Garamond" w:cstheme="minorHAnsi"/>
          <w:sz w:val="24"/>
          <w:szCs w:val="24"/>
        </w:rPr>
      </w:pPr>
      <w:r w:rsidRPr="008929EB">
        <w:rPr>
          <w:rFonts w:ascii="Garamond" w:hAnsi="Garamond" w:cstheme="minorHAnsi"/>
          <w:sz w:val="24"/>
          <w:szCs w:val="24"/>
        </w:rPr>
        <w:t>Le funzioni di supporto sono assicurate dalle strutture/servizi di Staff della Direzione Strategica nonché dalle strutture/servizi della Direzione Amministrativa e Sanitaria, secondo i rispettivi ambiti di competenza .</w:t>
      </w:r>
    </w:p>
    <w:p w:rsidR="008929EB" w:rsidRPr="008929EB" w:rsidRDefault="008929EB" w:rsidP="008929EB">
      <w:pPr>
        <w:numPr>
          <w:ilvl w:val="0"/>
          <w:numId w:val="39"/>
        </w:numPr>
        <w:spacing w:after="0" w:line="360" w:lineRule="auto"/>
        <w:jc w:val="both"/>
        <w:rPr>
          <w:rFonts w:ascii="Garamond" w:hAnsi="Garamond" w:cstheme="minorHAnsi"/>
          <w:sz w:val="24"/>
          <w:szCs w:val="24"/>
        </w:rPr>
      </w:pPr>
      <w:r w:rsidRPr="008929EB">
        <w:rPr>
          <w:rFonts w:ascii="Garamond" w:hAnsi="Garamond" w:cstheme="minorHAnsi"/>
          <w:sz w:val="24"/>
          <w:szCs w:val="24"/>
        </w:rPr>
        <w:lastRenderedPageBreak/>
        <w:t xml:space="preserve">L’organizzazione dipartimentale è il modello ordinario di gestione operativa di tutte le attività aziendali. </w:t>
      </w:r>
    </w:p>
    <w:p w:rsidR="008929EB" w:rsidRPr="008929EB" w:rsidRDefault="008929EB" w:rsidP="008929EB">
      <w:pPr>
        <w:numPr>
          <w:ilvl w:val="0"/>
          <w:numId w:val="39"/>
        </w:numPr>
        <w:spacing w:after="0" w:line="360" w:lineRule="auto"/>
        <w:jc w:val="both"/>
        <w:rPr>
          <w:rFonts w:ascii="Garamond" w:hAnsi="Garamond" w:cstheme="minorHAnsi"/>
          <w:sz w:val="24"/>
          <w:szCs w:val="24"/>
        </w:rPr>
      </w:pPr>
      <w:r w:rsidRPr="008929EB">
        <w:rPr>
          <w:rFonts w:ascii="Garamond" w:hAnsi="Garamond" w:cstheme="minorHAnsi"/>
          <w:sz w:val="24"/>
          <w:szCs w:val="24"/>
        </w:rPr>
        <w:t>I dipartimenti clinici ospedalieri aggregano le strutture complesse e semplici dipartimentali  del Presidio Ospedaliero “S. Maria degli Angeli” di Pordenone e del Presidio Ospedaliero di “S. Vito al Tagliamento e Spilimbergo”, secondo un modello già consolidato e ispirato alla massima integrazione dei professionisti e alla migliore valorizzazione dei percorsi di prevenzione, diagnostico terapeutici assistenziali (</w:t>
      </w:r>
      <w:proofErr w:type="spellStart"/>
      <w:r w:rsidRPr="008929EB">
        <w:rPr>
          <w:rFonts w:ascii="Garamond" w:hAnsi="Garamond" w:cstheme="minorHAnsi"/>
          <w:sz w:val="24"/>
          <w:szCs w:val="24"/>
        </w:rPr>
        <w:t>P.D.T.A.</w:t>
      </w:r>
      <w:proofErr w:type="spellEnd"/>
      <w:r w:rsidRPr="008929EB">
        <w:rPr>
          <w:rFonts w:ascii="Garamond" w:hAnsi="Garamond" w:cstheme="minorHAnsi"/>
          <w:sz w:val="24"/>
          <w:szCs w:val="24"/>
        </w:rPr>
        <w:t xml:space="preserve">). </w:t>
      </w:r>
    </w:p>
    <w:p w:rsidR="008929EB" w:rsidRPr="008929EB" w:rsidRDefault="00706ECE" w:rsidP="008929EB">
      <w:pPr>
        <w:numPr>
          <w:ilvl w:val="0"/>
          <w:numId w:val="39"/>
        </w:numPr>
        <w:spacing w:after="0" w:line="360" w:lineRule="auto"/>
        <w:jc w:val="both"/>
        <w:rPr>
          <w:rFonts w:ascii="Garamond" w:hAnsi="Garamond" w:cstheme="minorHAnsi"/>
          <w:sz w:val="24"/>
          <w:szCs w:val="24"/>
        </w:rPr>
      </w:pPr>
      <w:r>
        <w:rPr>
          <w:rFonts w:ascii="Garamond" w:hAnsi="Garamond" w:cstheme="minorHAnsi"/>
          <w:sz w:val="24"/>
          <w:szCs w:val="24"/>
        </w:rPr>
        <w:t xml:space="preserve">Le piattaforme assistenziali o tecnico-sanitarie aggregano aree assistenziali e tecniche omogenee, trasversali anche a più dipartimenti o strutture territoriali, ad esse </w:t>
      </w:r>
      <w:r w:rsidR="008929EB" w:rsidRPr="008929EB">
        <w:rPr>
          <w:rFonts w:ascii="Garamond" w:hAnsi="Garamond" w:cstheme="minorHAnsi"/>
          <w:sz w:val="24"/>
          <w:szCs w:val="24"/>
        </w:rPr>
        <w:t xml:space="preserve">è assegnato il governo delle risorse professionali secondo le aree definite dalla legge 251/2000 e </w:t>
      </w:r>
      <w:proofErr w:type="spellStart"/>
      <w:r w:rsidR="008929EB" w:rsidRPr="008929EB">
        <w:rPr>
          <w:rFonts w:ascii="Garamond" w:hAnsi="Garamond" w:cstheme="minorHAnsi"/>
          <w:sz w:val="24"/>
          <w:szCs w:val="24"/>
        </w:rPr>
        <w:t>L.R.</w:t>
      </w:r>
      <w:proofErr w:type="spellEnd"/>
      <w:r w:rsidR="008929EB" w:rsidRPr="008929EB">
        <w:rPr>
          <w:rFonts w:ascii="Garamond" w:hAnsi="Garamond" w:cstheme="minorHAnsi"/>
          <w:sz w:val="24"/>
          <w:szCs w:val="24"/>
        </w:rPr>
        <w:t xml:space="preserve"> 10/2007. </w:t>
      </w:r>
    </w:p>
    <w:p w:rsidR="00953C92" w:rsidRDefault="00953C92" w:rsidP="008929EB">
      <w:pPr>
        <w:spacing w:line="360" w:lineRule="auto"/>
        <w:jc w:val="both"/>
        <w:rPr>
          <w:rFonts w:ascii="Garamond" w:hAnsi="Garamond" w:cstheme="minorHAnsi"/>
          <w:sz w:val="24"/>
          <w:szCs w:val="24"/>
        </w:rPr>
      </w:pPr>
    </w:p>
    <w:p w:rsidR="008929EB" w:rsidRPr="008929EB" w:rsidRDefault="008929EB" w:rsidP="008929EB">
      <w:pPr>
        <w:spacing w:line="360" w:lineRule="auto"/>
        <w:jc w:val="both"/>
        <w:rPr>
          <w:rFonts w:ascii="Garamond" w:hAnsi="Garamond" w:cstheme="minorHAnsi"/>
          <w:sz w:val="24"/>
          <w:szCs w:val="24"/>
        </w:rPr>
      </w:pPr>
      <w:r w:rsidRPr="008929EB">
        <w:rPr>
          <w:rFonts w:ascii="Garamond" w:hAnsi="Garamond" w:cstheme="minorHAnsi"/>
          <w:sz w:val="24"/>
          <w:szCs w:val="24"/>
        </w:rPr>
        <w:t>L’Azienda ispira la propria organizzazione a criteri di responsabilizzazione diffusa, di delega dei sistemi di gestione, di valorizzazione dell’autonomia gestionale delle singole articolazioni organizzative, dell’autonomia professionale degli operatori e di un generale orientamento alla flessibilità, limitando lo sviluppo verticale delle strutture e dei livelli di responsabilità. Ciò si traduce, per quanto possibile ed opportuno, nella attribuzione e nella delega esplicita di poteri e nell’assegnazione di obiettivi, affinché i singoli operatori possano essere meglio coinvolti nella gestione aziendale e sia possibile una valutazione dei risultati raggiunti rispetto agli obiettivi assegnati, tenuto conto delle risorse messe a disposizione.</w:t>
      </w:r>
    </w:p>
    <w:p w:rsidR="00953C92" w:rsidRDefault="00706ECE" w:rsidP="008929EB">
      <w:pPr>
        <w:spacing w:line="360" w:lineRule="auto"/>
        <w:jc w:val="both"/>
        <w:rPr>
          <w:rFonts w:ascii="Garamond" w:hAnsi="Garamond" w:cstheme="minorHAnsi"/>
          <w:sz w:val="24"/>
          <w:szCs w:val="24"/>
        </w:rPr>
      </w:pPr>
      <w:r>
        <w:rPr>
          <w:rFonts w:ascii="Garamond" w:hAnsi="Garamond" w:cstheme="minorHAnsi"/>
          <w:sz w:val="24"/>
          <w:szCs w:val="24"/>
        </w:rPr>
        <w:t xml:space="preserve">L’assetto organizzativo </w:t>
      </w:r>
      <w:r w:rsidR="00C46967">
        <w:rPr>
          <w:rFonts w:ascii="Garamond" w:hAnsi="Garamond" w:cstheme="minorHAnsi"/>
          <w:sz w:val="24"/>
          <w:szCs w:val="24"/>
        </w:rPr>
        <w:t>è in fase di realizzazione</w:t>
      </w:r>
    </w:p>
    <w:p w:rsidR="008929EB" w:rsidRPr="008929EB" w:rsidRDefault="008929EB" w:rsidP="008929EB">
      <w:pPr>
        <w:rPr>
          <w:rFonts w:ascii="Garamond" w:hAnsi="Garamond" w:cstheme="minorHAnsi"/>
          <w:sz w:val="24"/>
          <w:szCs w:val="24"/>
        </w:rPr>
      </w:pPr>
      <w:r w:rsidRPr="008929EB">
        <w:rPr>
          <w:rFonts w:ascii="Garamond" w:hAnsi="Garamond" w:cstheme="minorHAnsi"/>
          <w:sz w:val="24"/>
          <w:szCs w:val="24"/>
        </w:rPr>
        <w:t>L’organigramma è il seguente:</w:t>
      </w:r>
    </w:p>
    <w:p w:rsidR="008929EB" w:rsidRPr="008929EB" w:rsidRDefault="008929EB" w:rsidP="008929EB">
      <w:pPr>
        <w:ind w:left="993"/>
        <w:rPr>
          <w:rFonts w:ascii="Garamond" w:hAnsi="Garamond" w:cstheme="minorHAnsi"/>
          <w:sz w:val="24"/>
          <w:szCs w:val="24"/>
        </w:rPr>
      </w:pPr>
      <w:r w:rsidRPr="008929EB">
        <w:rPr>
          <w:rFonts w:ascii="Garamond" w:hAnsi="Garamond" w:cstheme="minorHAnsi"/>
          <w:noProof/>
          <w:sz w:val="24"/>
          <w:szCs w:val="24"/>
          <w:lang w:eastAsia="it-IT"/>
        </w:rPr>
        <w:lastRenderedPageBreak/>
        <w:drawing>
          <wp:inline distT="0" distB="0" distL="0" distR="0">
            <wp:extent cx="4952081" cy="8963025"/>
            <wp:effectExtent l="19050" t="0" r="919"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953919" cy="8966352"/>
                    </a:xfrm>
                    <a:prstGeom prst="rect">
                      <a:avLst/>
                    </a:prstGeom>
                    <a:noFill/>
                    <a:ln w="9525">
                      <a:noFill/>
                      <a:miter lim="800000"/>
                      <a:headEnd/>
                      <a:tailEnd/>
                    </a:ln>
                  </pic:spPr>
                </pic:pic>
              </a:graphicData>
            </a:graphic>
          </wp:inline>
        </w:drawing>
      </w:r>
      <w:r w:rsidRPr="008929EB">
        <w:rPr>
          <w:rFonts w:ascii="Garamond" w:hAnsi="Garamond" w:cstheme="minorHAnsi"/>
          <w:sz w:val="24"/>
          <w:szCs w:val="24"/>
        </w:rPr>
        <w:br w:type="page"/>
      </w:r>
    </w:p>
    <w:p w:rsidR="007C1FB7" w:rsidRPr="004107DC" w:rsidRDefault="005864DA" w:rsidP="007C1FB7">
      <w:pPr>
        <w:autoSpaceDE w:val="0"/>
        <w:autoSpaceDN w:val="0"/>
        <w:adjustRightInd w:val="0"/>
        <w:spacing w:after="0" w:line="240" w:lineRule="auto"/>
        <w:rPr>
          <w:rFonts w:ascii="Garamond" w:eastAsia="Times New Roman" w:hAnsi="Garamond"/>
          <w:b/>
          <w:color w:val="000000"/>
          <w:sz w:val="24"/>
          <w:szCs w:val="24"/>
          <w:lang w:eastAsia="it-IT"/>
        </w:rPr>
      </w:pPr>
      <w:r>
        <w:rPr>
          <w:rFonts w:ascii="Garamond" w:eastAsia="Times New Roman" w:hAnsi="Garamond"/>
          <w:b/>
          <w:color w:val="000000"/>
          <w:sz w:val="24"/>
          <w:szCs w:val="24"/>
          <w:lang w:eastAsia="it-IT"/>
        </w:rPr>
        <w:lastRenderedPageBreak/>
        <w:t xml:space="preserve">La programmazione regionale: la predisposizione del Piano Attuativo </w:t>
      </w:r>
      <w:r w:rsidR="00953C92">
        <w:rPr>
          <w:rFonts w:ascii="Garamond" w:eastAsia="Times New Roman" w:hAnsi="Garamond"/>
          <w:b/>
          <w:color w:val="000000"/>
          <w:sz w:val="24"/>
          <w:szCs w:val="24"/>
          <w:lang w:eastAsia="it-IT"/>
        </w:rPr>
        <w:t>Locale</w:t>
      </w:r>
      <w:r>
        <w:rPr>
          <w:rFonts w:ascii="Garamond" w:eastAsia="Times New Roman" w:hAnsi="Garamond"/>
          <w:b/>
          <w:color w:val="000000"/>
          <w:sz w:val="24"/>
          <w:szCs w:val="24"/>
          <w:lang w:eastAsia="it-IT"/>
        </w:rPr>
        <w:t xml:space="preserve"> (PA</w:t>
      </w:r>
      <w:r w:rsidR="00953C92">
        <w:rPr>
          <w:rFonts w:ascii="Garamond" w:eastAsia="Times New Roman" w:hAnsi="Garamond"/>
          <w:b/>
          <w:color w:val="000000"/>
          <w:sz w:val="24"/>
          <w:szCs w:val="24"/>
          <w:lang w:eastAsia="it-IT"/>
        </w:rPr>
        <w:t>L</w:t>
      </w:r>
      <w:r>
        <w:rPr>
          <w:rFonts w:ascii="Garamond" w:eastAsia="Times New Roman" w:hAnsi="Garamond"/>
          <w:b/>
          <w:color w:val="000000"/>
          <w:sz w:val="24"/>
          <w:szCs w:val="24"/>
          <w:lang w:eastAsia="it-IT"/>
        </w:rPr>
        <w:t>)</w:t>
      </w:r>
    </w:p>
    <w:p w:rsidR="004107DC" w:rsidRPr="004107DC" w:rsidRDefault="004107DC" w:rsidP="007C1FB7">
      <w:pPr>
        <w:autoSpaceDE w:val="0"/>
        <w:autoSpaceDN w:val="0"/>
        <w:adjustRightInd w:val="0"/>
        <w:spacing w:after="0" w:line="240" w:lineRule="auto"/>
        <w:rPr>
          <w:rFonts w:ascii="Garamond" w:eastAsia="Times New Roman" w:hAnsi="Garamond"/>
          <w:color w:val="000000"/>
          <w:sz w:val="24"/>
          <w:szCs w:val="24"/>
          <w:lang w:eastAsia="it-IT"/>
        </w:rPr>
      </w:pPr>
    </w:p>
    <w:p w:rsidR="00734937" w:rsidRPr="00E91DA2" w:rsidRDefault="00734937" w:rsidP="00C116F2">
      <w:pPr>
        <w:spacing w:after="0" w:line="360" w:lineRule="auto"/>
        <w:jc w:val="both"/>
        <w:rPr>
          <w:rFonts w:ascii="Garamond" w:hAnsi="Garamond"/>
          <w:color w:val="000000"/>
          <w:sz w:val="24"/>
          <w:szCs w:val="24"/>
        </w:rPr>
      </w:pPr>
      <w:r>
        <w:rPr>
          <w:rFonts w:ascii="Garamond" w:hAnsi="Garamond"/>
          <w:color w:val="000000"/>
          <w:sz w:val="24"/>
          <w:szCs w:val="24"/>
        </w:rPr>
        <w:t>Qui di seguito s</w:t>
      </w:r>
      <w:r w:rsidRPr="00E91DA2">
        <w:rPr>
          <w:rFonts w:ascii="Garamond" w:hAnsi="Garamond"/>
          <w:color w:val="000000"/>
          <w:sz w:val="24"/>
          <w:szCs w:val="24"/>
        </w:rPr>
        <w:t xml:space="preserve">i riporta sinteticamente l’articolazione del processo di programmazione e controllo del SSR come disciplinato dalla </w:t>
      </w:r>
      <w:proofErr w:type="spellStart"/>
      <w:r w:rsidRPr="00E91DA2">
        <w:rPr>
          <w:rFonts w:ascii="Garamond" w:hAnsi="Garamond"/>
          <w:color w:val="000000"/>
          <w:sz w:val="24"/>
          <w:szCs w:val="24"/>
        </w:rPr>
        <w:t>L.R.</w:t>
      </w:r>
      <w:proofErr w:type="spellEnd"/>
      <w:r w:rsidRPr="00E91DA2">
        <w:rPr>
          <w:rFonts w:ascii="Garamond" w:hAnsi="Garamond"/>
          <w:color w:val="000000"/>
          <w:sz w:val="24"/>
          <w:szCs w:val="24"/>
        </w:rPr>
        <w:t xml:space="preserve">  n. 49/1996 e dalla </w:t>
      </w:r>
      <w:proofErr w:type="spellStart"/>
      <w:r w:rsidRPr="00E91DA2">
        <w:rPr>
          <w:rFonts w:ascii="Garamond" w:hAnsi="Garamond"/>
          <w:color w:val="000000"/>
          <w:sz w:val="24"/>
          <w:szCs w:val="24"/>
        </w:rPr>
        <w:t>L.R.</w:t>
      </w:r>
      <w:proofErr w:type="spellEnd"/>
      <w:r w:rsidRPr="00E91DA2">
        <w:rPr>
          <w:rFonts w:ascii="Garamond" w:hAnsi="Garamond"/>
          <w:color w:val="000000"/>
          <w:sz w:val="24"/>
          <w:szCs w:val="24"/>
        </w:rPr>
        <w:t xml:space="preserve"> n. 23/2004 e </w:t>
      </w:r>
      <w:proofErr w:type="spellStart"/>
      <w:r w:rsidRPr="00E91DA2">
        <w:rPr>
          <w:rFonts w:ascii="Garamond" w:hAnsi="Garamond"/>
          <w:color w:val="000000"/>
          <w:sz w:val="24"/>
          <w:szCs w:val="24"/>
        </w:rPr>
        <w:t>smi</w:t>
      </w:r>
      <w:proofErr w:type="spellEnd"/>
      <w:r w:rsidRPr="00E91DA2">
        <w:rPr>
          <w:rFonts w:ascii="Garamond" w:hAnsi="Garamond"/>
          <w:color w:val="000000"/>
          <w:sz w:val="24"/>
          <w:szCs w:val="24"/>
        </w:rPr>
        <w:t>.</w:t>
      </w:r>
    </w:p>
    <w:p w:rsidR="00C116F2" w:rsidRPr="007907C9" w:rsidRDefault="00C116F2" w:rsidP="00C116F2">
      <w:pPr>
        <w:spacing w:after="0" w:line="360" w:lineRule="auto"/>
        <w:jc w:val="both"/>
        <w:rPr>
          <w:rFonts w:ascii="Garamond" w:hAnsi="Garamond"/>
          <w:color w:val="000000"/>
          <w:sz w:val="24"/>
          <w:szCs w:val="24"/>
        </w:rPr>
      </w:pPr>
      <w:r w:rsidRPr="007907C9">
        <w:rPr>
          <w:rFonts w:ascii="Garamond" w:hAnsi="Garamond"/>
          <w:color w:val="000000"/>
          <w:sz w:val="24"/>
          <w:szCs w:val="24"/>
        </w:rPr>
        <w:t xml:space="preserve">L'attività 2015 della AAS5 è stata fortemente caratterizzata dall’avvio del riordino istituzionale e organizzativo del servizio sanitario regionale, a seguito del modificato assetto disposto con LR 17/2014. </w:t>
      </w:r>
    </w:p>
    <w:p w:rsidR="007907C9" w:rsidRPr="007907C9" w:rsidRDefault="007907C9" w:rsidP="00C116F2">
      <w:pPr>
        <w:spacing w:after="0" w:line="360" w:lineRule="auto"/>
        <w:jc w:val="both"/>
        <w:rPr>
          <w:rFonts w:ascii="Garamond" w:hAnsi="Garamond"/>
          <w:color w:val="000000"/>
          <w:sz w:val="24"/>
          <w:szCs w:val="24"/>
        </w:rPr>
      </w:pPr>
      <w:r w:rsidRPr="007907C9">
        <w:rPr>
          <w:rFonts w:ascii="Garamond" w:hAnsi="Garamond"/>
          <w:color w:val="000000"/>
          <w:sz w:val="24"/>
          <w:szCs w:val="24"/>
        </w:rPr>
        <w:t>Il contesto, all’interno del quale si è strutturata la pianificazione regionale,  ha mantenuto anche per il 2015 la  riduzion</w:t>
      </w:r>
      <w:r w:rsidR="004707F9">
        <w:rPr>
          <w:rFonts w:ascii="Garamond" w:hAnsi="Garamond"/>
          <w:color w:val="000000"/>
          <w:sz w:val="24"/>
          <w:szCs w:val="24"/>
        </w:rPr>
        <w:t>e dei finanziamenti disponibili</w:t>
      </w:r>
      <w:r w:rsidRPr="007907C9">
        <w:rPr>
          <w:rFonts w:ascii="Garamond" w:hAnsi="Garamond"/>
          <w:color w:val="000000"/>
          <w:sz w:val="24"/>
          <w:szCs w:val="24"/>
        </w:rPr>
        <w:t>.</w:t>
      </w:r>
    </w:p>
    <w:p w:rsidR="007907C9" w:rsidRPr="007907C9" w:rsidRDefault="007907C9" w:rsidP="007907C9">
      <w:pPr>
        <w:spacing w:after="0" w:line="360" w:lineRule="auto"/>
        <w:jc w:val="both"/>
        <w:rPr>
          <w:rFonts w:ascii="Garamond" w:hAnsi="Garamond"/>
          <w:color w:val="000000"/>
          <w:sz w:val="24"/>
          <w:szCs w:val="24"/>
        </w:rPr>
      </w:pPr>
      <w:r w:rsidRPr="007907C9">
        <w:rPr>
          <w:rFonts w:ascii="Garamond" w:hAnsi="Garamond"/>
          <w:color w:val="000000"/>
          <w:sz w:val="24"/>
          <w:szCs w:val="24"/>
        </w:rPr>
        <w:t xml:space="preserve">E’ stato confermato il criterio per la ripartizione dei finanziamenti tra gli Enti del SSR che progressivamente potrà produrre una maggior equità allocativa a fronte della consistente riduzione delle risorse disponibili:  </w:t>
      </w:r>
      <w:r w:rsidR="004707F9">
        <w:rPr>
          <w:rFonts w:ascii="Garamond" w:hAnsi="Garamond"/>
          <w:color w:val="000000"/>
          <w:sz w:val="24"/>
          <w:szCs w:val="24"/>
        </w:rPr>
        <w:t>la DCS ha introdotto</w:t>
      </w:r>
      <w:r w:rsidRPr="007907C9">
        <w:rPr>
          <w:rFonts w:ascii="Garamond" w:hAnsi="Garamond"/>
          <w:color w:val="000000"/>
          <w:sz w:val="24"/>
          <w:szCs w:val="24"/>
        </w:rPr>
        <w:t xml:space="preserve"> l’attribuzione di un finanziam</w:t>
      </w:r>
      <w:r w:rsidR="00964889" w:rsidRPr="007907C9">
        <w:rPr>
          <w:rFonts w:ascii="Garamond" w:hAnsi="Garamond"/>
          <w:color w:val="000000"/>
          <w:sz w:val="24"/>
          <w:szCs w:val="24"/>
        </w:rPr>
        <w:fldChar w:fldCharType="begin"/>
      </w:r>
      <w:r w:rsidRPr="007907C9">
        <w:rPr>
          <w:rFonts w:ascii="Garamond" w:hAnsi="Garamond"/>
          <w:color w:val="000000"/>
          <w:sz w:val="24"/>
          <w:szCs w:val="24"/>
        </w:rPr>
        <w:instrText xml:space="preserve"> INDEX \e "</w:instrText>
      </w:r>
      <w:r w:rsidRPr="007907C9">
        <w:rPr>
          <w:rFonts w:ascii="Garamond" w:hAnsi="Garamond"/>
          <w:color w:val="000000"/>
          <w:sz w:val="24"/>
          <w:szCs w:val="24"/>
        </w:rPr>
        <w:tab/>
        <w:instrText xml:space="preserve">" \c "2" \z "1040" </w:instrText>
      </w:r>
      <w:r w:rsidR="00964889" w:rsidRPr="007907C9">
        <w:rPr>
          <w:rFonts w:ascii="Garamond" w:hAnsi="Garamond"/>
          <w:color w:val="000000"/>
          <w:sz w:val="24"/>
          <w:szCs w:val="24"/>
        </w:rPr>
        <w:fldChar w:fldCharType="end"/>
      </w:r>
      <w:r w:rsidRPr="007907C9">
        <w:rPr>
          <w:rFonts w:ascii="Garamond" w:hAnsi="Garamond"/>
          <w:color w:val="000000"/>
          <w:sz w:val="24"/>
          <w:szCs w:val="24"/>
        </w:rPr>
        <w:t>ento pro capite per  livelli di assistenza, con tendenziale superamento del finanziamento su base storica.</w:t>
      </w:r>
    </w:p>
    <w:p w:rsidR="00153ADD" w:rsidRDefault="00153ADD" w:rsidP="007907C9">
      <w:pPr>
        <w:spacing w:after="0" w:line="360" w:lineRule="auto"/>
        <w:jc w:val="both"/>
        <w:rPr>
          <w:rFonts w:ascii="Garamond" w:hAnsi="Garamond"/>
          <w:color w:val="000000"/>
          <w:sz w:val="24"/>
          <w:szCs w:val="24"/>
        </w:rPr>
      </w:pPr>
    </w:p>
    <w:p w:rsidR="007907C9" w:rsidRPr="007907C9" w:rsidRDefault="007907C9" w:rsidP="007907C9">
      <w:pPr>
        <w:spacing w:after="0" w:line="360" w:lineRule="auto"/>
        <w:jc w:val="both"/>
        <w:rPr>
          <w:rFonts w:ascii="Garamond" w:hAnsi="Garamond"/>
          <w:color w:val="000000"/>
          <w:sz w:val="24"/>
          <w:szCs w:val="24"/>
        </w:rPr>
      </w:pPr>
      <w:r w:rsidRPr="007907C9">
        <w:rPr>
          <w:rFonts w:ascii="Garamond" w:hAnsi="Garamond"/>
          <w:color w:val="000000"/>
          <w:sz w:val="24"/>
          <w:szCs w:val="24"/>
        </w:rPr>
        <w:t>Parallelamente sono stati ribaditi alcuni vincoli operativi, in ottemperanza alle normative nazionali e regionali, quali:</w:t>
      </w:r>
    </w:p>
    <w:p w:rsidR="007907C9" w:rsidRPr="007907C9" w:rsidRDefault="007907C9" w:rsidP="007907C9">
      <w:pPr>
        <w:numPr>
          <w:ilvl w:val="0"/>
          <w:numId w:val="34"/>
        </w:numPr>
        <w:spacing w:after="0" w:line="360" w:lineRule="auto"/>
        <w:ind w:left="714" w:hanging="357"/>
        <w:jc w:val="both"/>
        <w:rPr>
          <w:rFonts w:ascii="Garamond" w:hAnsi="Garamond"/>
          <w:color w:val="000000"/>
          <w:sz w:val="24"/>
          <w:szCs w:val="24"/>
        </w:rPr>
      </w:pPr>
      <w:r w:rsidRPr="007907C9">
        <w:rPr>
          <w:rFonts w:ascii="Garamond" w:hAnsi="Garamond"/>
          <w:color w:val="000000"/>
          <w:sz w:val="24"/>
          <w:szCs w:val="24"/>
        </w:rPr>
        <w:t>avvio graduale della riduzione dei posti letto per acuti al 3,0 per mille abitanti (DGR 2673/2014 standard e funzioni assistenza primaria e assistenza ospedaliera);</w:t>
      </w:r>
    </w:p>
    <w:p w:rsidR="007907C9" w:rsidRPr="007907C9" w:rsidRDefault="007907C9" w:rsidP="007907C9">
      <w:pPr>
        <w:numPr>
          <w:ilvl w:val="0"/>
          <w:numId w:val="34"/>
        </w:numPr>
        <w:spacing w:after="0" w:line="360" w:lineRule="auto"/>
        <w:ind w:left="714" w:hanging="357"/>
        <w:jc w:val="both"/>
        <w:rPr>
          <w:rFonts w:ascii="Garamond" w:hAnsi="Garamond"/>
          <w:color w:val="000000"/>
          <w:sz w:val="24"/>
          <w:szCs w:val="24"/>
        </w:rPr>
      </w:pPr>
      <w:r w:rsidRPr="007907C9">
        <w:rPr>
          <w:rFonts w:ascii="Garamond" w:hAnsi="Garamond"/>
          <w:color w:val="000000"/>
          <w:sz w:val="24"/>
          <w:szCs w:val="24"/>
        </w:rPr>
        <w:t>aumento dei posti letto di riabilitazione allo  0,7 per mille (DGR 2673/2014);</w:t>
      </w:r>
    </w:p>
    <w:p w:rsidR="007907C9" w:rsidRPr="007907C9" w:rsidRDefault="007907C9" w:rsidP="007907C9">
      <w:pPr>
        <w:numPr>
          <w:ilvl w:val="0"/>
          <w:numId w:val="34"/>
        </w:numPr>
        <w:spacing w:after="0" w:line="360" w:lineRule="auto"/>
        <w:jc w:val="both"/>
        <w:rPr>
          <w:rFonts w:ascii="Garamond" w:hAnsi="Garamond"/>
          <w:color w:val="000000"/>
          <w:sz w:val="24"/>
          <w:szCs w:val="24"/>
        </w:rPr>
      </w:pPr>
      <w:r w:rsidRPr="007907C9">
        <w:rPr>
          <w:rFonts w:ascii="Garamond" w:hAnsi="Garamond"/>
          <w:color w:val="000000"/>
          <w:sz w:val="24"/>
          <w:szCs w:val="24"/>
        </w:rPr>
        <w:t>mantenimento del tasso di ospedalizzazione &lt; 140 per mille;</w:t>
      </w:r>
    </w:p>
    <w:p w:rsidR="007907C9" w:rsidRPr="007907C9" w:rsidRDefault="007907C9" w:rsidP="007907C9">
      <w:pPr>
        <w:pStyle w:val="Paragrafoelenco1"/>
        <w:numPr>
          <w:ilvl w:val="0"/>
          <w:numId w:val="34"/>
        </w:numPr>
        <w:spacing w:after="0" w:line="360" w:lineRule="auto"/>
        <w:contextualSpacing w:val="0"/>
        <w:jc w:val="both"/>
        <w:rPr>
          <w:rFonts w:ascii="Garamond" w:hAnsi="Garamond"/>
          <w:color w:val="000000"/>
          <w:sz w:val="24"/>
          <w:szCs w:val="24"/>
        </w:rPr>
      </w:pPr>
      <w:r w:rsidRPr="007907C9">
        <w:rPr>
          <w:rFonts w:ascii="Garamond" w:hAnsi="Garamond"/>
          <w:color w:val="000000"/>
          <w:sz w:val="24"/>
          <w:szCs w:val="24"/>
        </w:rPr>
        <w:t>numero massimo di 4 prestazioni ambulatoriali per anno per abitante su popolazione pesata, escluso la branca di laboratorio;</w:t>
      </w:r>
    </w:p>
    <w:p w:rsidR="007907C9" w:rsidRPr="007907C9" w:rsidRDefault="007907C9" w:rsidP="007907C9">
      <w:pPr>
        <w:numPr>
          <w:ilvl w:val="0"/>
          <w:numId w:val="34"/>
        </w:numPr>
        <w:spacing w:after="0" w:line="360" w:lineRule="auto"/>
        <w:jc w:val="both"/>
        <w:rPr>
          <w:rFonts w:ascii="Garamond" w:hAnsi="Garamond"/>
          <w:color w:val="000000"/>
          <w:sz w:val="24"/>
          <w:szCs w:val="24"/>
        </w:rPr>
      </w:pPr>
      <w:r w:rsidRPr="007907C9">
        <w:rPr>
          <w:rFonts w:ascii="Garamond" w:hAnsi="Garamond"/>
          <w:color w:val="000000"/>
          <w:sz w:val="24"/>
          <w:szCs w:val="24"/>
        </w:rPr>
        <w:t xml:space="preserve">riduzione/mantenimento delle principali voci di spesa per:  </w:t>
      </w:r>
    </w:p>
    <w:p w:rsidR="007907C9" w:rsidRPr="007907C9" w:rsidRDefault="007907C9" w:rsidP="007907C9">
      <w:pPr>
        <w:numPr>
          <w:ilvl w:val="1"/>
          <w:numId w:val="35"/>
        </w:numPr>
        <w:spacing w:after="0" w:line="360" w:lineRule="auto"/>
        <w:jc w:val="both"/>
        <w:rPr>
          <w:rFonts w:ascii="Garamond" w:hAnsi="Garamond"/>
          <w:color w:val="000000"/>
          <w:sz w:val="24"/>
          <w:szCs w:val="24"/>
        </w:rPr>
      </w:pPr>
      <w:r w:rsidRPr="007907C9">
        <w:rPr>
          <w:rFonts w:ascii="Garamond" w:hAnsi="Garamond"/>
          <w:color w:val="000000"/>
          <w:sz w:val="24"/>
          <w:szCs w:val="24"/>
        </w:rPr>
        <w:t>personale dipendente (- 1% rispetto al costo 2012 su competenze fisse)</w:t>
      </w:r>
      <w:r w:rsidR="004707F9">
        <w:rPr>
          <w:rFonts w:ascii="Garamond" w:hAnsi="Garamond"/>
          <w:color w:val="000000"/>
          <w:sz w:val="24"/>
          <w:szCs w:val="24"/>
        </w:rPr>
        <w:t>;</w:t>
      </w:r>
      <w:r w:rsidRPr="007907C9">
        <w:rPr>
          <w:rFonts w:ascii="Garamond" w:hAnsi="Garamond"/>
          <w:color w:val="000000"/>
          <w:sz w:val="24"/>
          <w:szCs w:val="24"/>
        </w:rPr>
        <w:t xml:space="preserve"> </w:t>
      </w:r>
    </w:p>
    <w:p w:rsidR="004707F9" w:rsidRDefault="004707F9" w:rsidP="004707F9">
      <w:pPr>
        <w:numPr>
          <w:ilvl w:val="1"/>
          <w:numId w:val="35"/>
        </w:numPr>
        <w:spacing w:after="0" w:line="360" w:lineRule="auto"/>
        <w:jc w:val="both"/>
        <w:rPr>
          <w:rFonts w:ascii="Garamond" w:hAnsi="Garamond"/>
          <w:color w:val="000000"/>
          <w:sz w:val="24"/>
          <w:szCs w:val="24"/>
        </w:rPr>
      </w:pPr>
      <w:r w:rsidRPr="007907C9">
        <w:rPr>
          <w:rFonts w:ascii="Garamond" w:hAnsi="Garamond"/>
          <w:color w:val="000000"/>
          <w:sz w:val="24"/>
          <w:szCs w:val="24"/>
        </w:rPr>
        <w:t xml:space="preserve">farmaceutica ospedaliera (- 2% rispetto al costo 2014); </w:t>
      </w:r>
    </w:p>
    <w:p w:rsidR="00F75AAC" w:rsidRDefault="00F75AAC" w:rsidP="004707F9">
      <w:pPr>
        <w:numPr>
          <w:ilvl w:val="1"/>
          <w:numId w:val="35"/>
        </w:numPr>
        <w:spacing w:after="0" w:line="360" w:lineRule="auto"/>
        <w:jc w:val="both"/>
        <w:rPr>
          <w:rFonts w:ascii="Garamond" w:hAnsi="Garamond"/>
          <w:color w:val="000000"/>
          <w:sz w:val="24"/>
          <w:szCs w:val="24"/>
        </w:rPr>
      </w:pPr>
      <w:r>
        <w:rPr>
          <w:rFonts w:ascii="Garamond" w:hAnsi="Garamond"/>
          <w:color w:val="000000"/>
          <w:sz w:val="24"/>
          <w:szCs w:val="24"/>
        </w:rPr>
        <w:t>farmaceutica territoriale convenzionata e DPC pro-capite (obiettivo 153 euro pro-capite);</w:t>
      </w:r>
    </w:p>
    <w:p w:rsidR="00F75AAC" w:rsidRPr="007907C9" w:rsidRDefault="00F75AAC" w:rsidP="004707F9">
      <w:pPr>
        <w:numPr>
          <w:ilvl w:val="1"/>
          <w:numId w:val="35"/>
        </w:numPr>
        <w:spacing w:after="0" w:line="360" w:lineRule="auto"/>
        <w:jc w:val="both"/>
        <w:rPr>
          <w:rFonts w:ascii="Garamond" w:hAnsi="Garamond"/>
          <w:color w:val="000000"/>
          <w:sz w:val="24"/>
          <w:szCs w:val="24"/>
        </w:rPr>
      </w:pPr>
      <w:r>
        <w:rPr>
          <w:rFonts w:ascii="Garamond" w:hAnsi="Garamond"/>
          <w:color w:val="000000"/>
          <w:sz w:val="24"/>
          <w:szCs w:val="24"/>
        </w:rPr>
        <w:t>farmaceutica territoriale diretta (obiettivo 48 euro pro-capite)</w:t>
      </w:r>
    </w:p>
    <w:p w:rsidR="004707F9" w:rsidRPr="007907C9" w:rsidRDefault="004707F9" w:rsidP="004707F9">
      <w:pPr>
        <w:numPr>
          <w:ilvl w:val="1"/>
          <w:numId w:val="35"/>
        </w:numPr>
        <w:spacing w:after="0" w:line="360" w:lineRule="auto"/>
        <w:jc w:val="both"/>
        <w:rPr>
          <w:rFonts w:ascii="Garamond" w:hAnsi="Garamond"/>
          <w:color w:val="000000"/>
          <w:sz w:val="24"/>
          <w:szCs w:val="24"/>
        </w:rPr>
      </w:pPr>
      <w:r w:rsidRPr="007907C9">
        <w:rPr>
          <w:rFonts w:ascii="Garamond" w:hAnsi="Garamond"/>
          <w:color w:val="000000"/>
          <w:sz w:val="24"/>
          <w:szCs w:val="24"/>
        </w:rPr>
        <w:t>dispositivi medici: rispetto standard NISAN</w:t>
      </w:r>
      <w:r>
        <w:rPr>
          <w:rFonts w:ascii="Garamond" w:hAnsi="Garamond"/>
          <w:color w:val="000000"/>
          <w:sz w:val="24"/>
          <w:szCs w:val="24"/>
        </w:rPr>
        <w:t>;</w:t>
      </w:r>
    </w:p>
    <w:p w:rsidR="004707F9" w:rsidRPr="007907C9" w:rsidRDefault="004707F9" w:rsidP="004707F9">
      <w:pPr>
        <w:numPr>
          <w:ilvl w:val="1"/>
          <w:numId w:val="35"/>
        </w:numPr>
        <w:spacing w:after="0" w:line="360" w:lineRule="auto"/>
        <w:jc w:val="both"/>
        <w:rPr>
          <w:rFonts w:ascii="Garamond" w:hAnsi="Garamond"/>
          <w:color w:val="000000"/>
          <w:sz w:val="24"/>
          <w:szCs w:val="24"/>
        </w:rPr>
      </w:pPr>
      <w:r w:rsidRPr="007907C9">
        <w:rPr>
          <w:rFonts w:ascii="Garamond" w:hAnsi="Garamond"/>
          <w:color w:val="000000"/>
          <w:sz w:val="24"/>
          <w:szCs w:val="24"/>
        </w:rPr>
        <w:t>manutenzioni ordinarie edili impiantistiche (riferimento  costo 2014)</w:t>
      </w:r>
      <w:r>
        <w:rPr>
          <w:rFonts w:ascii="Garamond" w:hAnsi="Garamond"/>
          <w:color w:val="000000"/>
          <w:sz w:val="24"/>
          <w:szCs w:val="24"/>
        </w:rPr>
        <w:t>;</w:t>
      </w:r>
    </w:p>
    <w:p w:rsidR="007907C9" w:rsidRPr="007907C9" w:rsidRDefault="004707F9" w:rsidP="007907C9">
      <w:pPr>
        <w:numPr>
          <w:ilvl w:val="1"/>
          <w:numId w:val="35"/>
        </w:numPr>
        <w:spacing w:after="0" w:line="360" w:lineRule="auto"/>
        <w:jc w:val="both"/>
        <w:rPr>
          <w:rFonts w:ascii="Garamond" w:hAnsi="Garamond"/>
          <w:color w:val="000000"/>
          <w:sz w:val="24"/>
          <w:szCs w:val="24"/>
        </w:rPr>
      </w:pPr>
      <w:r>
        <w:rPr>
          <w:rFonts w:ascii="Garamond" w:hAnsi="Garamond"/>
          <w:color w:val="000000"/>
          <w:sz w:val="24"/>
          <w:szCs w:val="24"/>
        </w:rPr>
        <w:t xml:space="preserve">altri </w:t>
      </w:r>
      <w:r w:rsidR="007907C9" w:rsidRPr="007907C9">
        <w:rPr>
          <w:rFonts w:ascii="Garamond" w:hAnsi="Garamond"/>
          <w:color w:val="000000"/>
          <w:sz w:val="24"/>
          <w:szCs w:val="24"/>
        </w:rPr>
        <w:t xml:space="preserve">beni e servizi ( -10% rispetto al costo 2012) </w:t>
      </w:r>
    </w:p>
    <w:p w:rsidR="007907C9" w:rsidRPr="007907C9" w:rsidRDefault="007907C9" w:rsidP="007907C9">
      <w:pPr>
        <w:numPr>
          <w:ilvl w:val="0"/>
          <w:numId w:val="34"/>
        </w:numPr>
        <w:spacing w:after="0" w:line="360" w:lineRule="auto"/>
        <w:jc w:val="both"/>
        <w:rPr>
          <w:rFonts w:ascii="Garamond" w:hAnsi="Garamond"/>
          <w:color w:val="000000"/>
          <w:sz w:val="24"/>
          <w:szCs w:val="24"/>
        </w:rPr>
      </w:pPr>
      <w:r w:rsidRPr="007907C9">
        <w:rPr>
          <w:rFonts w:ascii="Garamond" w:hAnsi="Garamond"/>
          <w:color w:val="000000"/>
          <w:sz w:val="24"/>
          <w:szCs w:val="24"/>
        </w:rPr>
        <w:t>graduale riequilibrio delle risorse tra i 3 livelli organizzativi LEA (prevenzione, territorio, ospedale).</w:t>
      </w:r>
    </w:p>
    <w:p w:rsidR="007907C9" w:rsidRDefault="007907C9" w:rsidP="007907C9">
      <w:pPr>
        <w:spacing w:after="0" w:line="360" w:lineRule="auto"/>
        <w:rPr>
          <w:rFonts w:ascii="Garamond" w:hAnsi="Garamond"/>
          <w:color w:val="000000"/>
          <w:sz w:val="24"/>
          <w:szCs w:val="24"/>
        </w:rPr>
      </w:pPr>
    </w:p>
    <w:p w:rsidR="00153ADD" w:rsidRDefault="00153ADD">
      <w:pPr>
        <w:rPr>
          <w:rFonts w:ascii="Garamond" w:hAnsi="Garamond"/>
          <w:color w:val="000000"/>
          <w:sz w:val="24"/>
          <w:szCs w:val="24"/>
        </w:rPr>
      </w:pPr>
      <w:r>
        <w:rPr>
          <w:rFonts w:ascii="Garamond" w:hAnsi="Garamond"/>
          <w:color w:val="000000"/>
          <w:sz w:val="24"/>
          <w:szCs w:val="24"/>
        </w:rPr>
        <w:br w:type="page"/>
      </w:r>
    </w:p>
    <w:p w:rsidR="007907C9" w:rsidRPr="007907C9" w:rsidRDefault="007907C9" w:rsidP="007907C9">
      <w:pPr>
        <w:spacing w:line="360" w:lineRule="auto"/>
        <w:jc w:val="both"/>
        <w:rPr>
          <w:rFonts w:ascii="Garamond" w:hAnsi="Garamond"/>
          <w:color w:val="000000"/>
          <w:sz w:val="24"/>
          <w:szCs w:val="24"/>
        </w:rPr>
      </w:pPr>
      <w:r w:rsidRPr="007907C9">
        <w:rPr>
          <w:rFonts w:ascii="Garamond" w:hAnsi="Garamond"/>
          <w:color w:val="000000"/>
          <w:sz w:val="24"/>
          <w:szCs w:val="24"/>
        </w:rPr>
        <w:lastRenderedPageBreak/>
        <w:t>Il criterio di finanziamento a costi standard è stato confermato nel 2015 con l'attribuzione di un finanziamento procapite per livelli di a</w:t>
      </w:r>
      <w:r w:rsidR="004707F9">
        <w:rPr>
          <w:rFonts w:ascii="Garamond" w:hAnsi="Garamond"/>
          <w:color w:val="000000"/>
          <w:sz w:val="24"/>
          <w:szCs w:val="24"/>
        </w:rPr>
        <w:t>ssistenza, assegnato per singola</w:t>
      </w:r>
      <w:r w:rsidRPr="007907C9">
        <w:rPr>
          <w:rFonts w:ascii="Garamond" w:hAnsi="Garamond"/>
          <w:color w:val="000000"/>
          <w:sz w:val="24"/>
          <w:szCs w:val="24"/>
        </w:rPr>
        <w:t xml:space="preserve"> </w:t>
      </w:r>
      <w:r w:rsidR="004707F9">
        <w:rPr>
          <w:rFonts w:ascii="Garamond" w:hAnsi="Garamond"/>
          <w:color w:val="000000"/>
          <w:sz w:val="24"/>
          <w:szCs w:val="24"/>
        </w:rPr>
        <w:t>azienda</w:t>
      </w:r>
      <w:r w:rsidRPr="007907C9">
        <w:rPr>
          <w:rFonts w:ascii="Garamond" w:hAnsi="Garamond"/>
          <w:color w:val="000000"/>
          <w:sz w:val="24"/>
          <w:szCs w:val="24"/>
        </w:rPr>
        <w:t xml:space="preserve"> anziché per Area Vasta, e ampliando le parametrizzazioni allineate allo standard di costo, di modo che la quota “riproporzionata”  rispetto alle singole linee di assistenza, finanziate a costi standard è risultata in diminuzione rispetto al finanziamento 2014 degli enti del SSR.</w:t>
      </w:r>
    </w:p>
    <w:p w:rsidR="00603E6D" w:rsidRPr="008C4164" w:rsidRDefault="00603E6D" w:rsidP="00603E6D">
      <w:pPr>
        <w:spacing w:after="120" w:line="360" w:lineRule="auto"/>
        <w:jc w:val="both"/>
        <w:outlineLvl w:val="0"/>
        <w:rPr>
          <w:rFonts w:ascii="Garamond" w:hAnsi="Garamond" w:cs="Calibri"/>
          <w:bCs/>
          <w:sz w:val="24"/>
          <w:szCs w:val="24"/>
        </w:rPr>
      </w:pPr>
      <w:r w:rsidRPr="008C4164">
        <w:rPr>
          <w:rFonts w:ascii="Garamond" w:eastAsia="MS Mincho" w:hAnsi="Garamond"/>
          <w:color w:val="373737"/>
          <w:sz w:val="24"/>
          <w:szCs w:val="24"/>
          <w:lang w:eastAsia="ja-JP"/>
        </w:rPr>
        <w:t xml:space="preserve">I </w:t>
      </w:r>
      <w:r w:rsidRPr="008C4164">
        <w:rPr>
          <w:rFonts w:ascii="Garamond" w:hAnsi="Garamond" w:cs="Calibri"/>
          <w:bCs/>
          <w:sz w:val="24"/>
          <w:szCs w:val="24"/>
        </w:rPr>
        <w:t>documenti di riferimento per l’elaborazione degli obiettivi per l’anno 201</w:t>
      </w:r>
      <w:r w:rsidR="00C116F2">
        <w:rPr>
          <w:rFonts w:ascii="Garamond" w:hAnsi="Garamond" w:cs="Calibri"/>
          <w:bCs/>
          <w:sz w:val="24"/>
          <w:szCs w:val="24"/>
        </w:rPr>
        <w:t>5</w:t>
      </w:r>
      <w:r w:rsidRPr="008C4164">
        <w:rPr>
          <w:rFonts w:ascii="Garamond" w:hAnsi="Garamond" w:cs="Calibri"/>
          <w:bCs/>
          <w:sz w:val="24"/>
          <w:szCs w:val="24"/>
        </w:rPr>
        <w:t xml:space="preserve"> sono</w:t>
      </w:r>
      <w:r>
        <w:rPr>
          <w:rFonts w:ascii="Garamond" w:hAnsi="Garamond" w:cs="Calibri"/>
          <w:bCs/>
          <w:sz w:val="24"/>
          <w:szCs w:val="24"/>
        </w:rPr>
        <w:t xml:space="preserve"> stati</w:t>
      </w:r>
      <w:r w:rsidRPr="008C4164">
        <w:rPr>
          <w:rFonts w:ascii="Garamond" w:hAnsi="Garamond" w:cs="Calibri"/>
          <w:bCs/>
          <w:sz w:val="24"/>
          <w:szCs w:val="24"/>
        </w:rPr>
        <w:t>:</w:t>
      </w:r>
    </w:p>
    <w:p w:rsidR="00603E6D" w:rsidRPr="00126493" w:rsidRDefault="00603E6D" w:rsidP="00603E6D">
      <w:pPr>
        <w:numPr>
          <w:ilvl w:val="0"/>
          <w:numId w:val="26"/>
        </w:numPr>
        <w:spacing w:after="0" w:line="360" w:lineRule="auto"/>
        <w:jc w:val="both"/>
        <w:outlineLvl w:val="0"/>
        <w:rPr>
          <w:rFonts w:ascii="Garamond" w:hAnsi="Garamond" w:cs="Calibri"/>
          <w:bCs/>
          <w:sz w:val="24"/>
          <w:szCs w:val="24"/>
        </w:rPr>
      </w:pPr>
      <w:r w:rsidRPr="00126493">
        <w:rPr>
          <w:rFonts w:ascii="Garamond" w:hAnsi="Garamond" w:cs="Calibri"/>
          <w:bCs/>
          <w:sz w:val="24"/>
          <w:szCs w:val="24"/>
        </w:rPr>
        <w:t>DGR n</w:t>
      </w:r>
      <w:r w:rsidR="00153ADD">
        <w:rPr>
          <w:rFonts w:ascii="Garamond" w:hAnsi="Garamond" w:cs="Calibri"/>
          <w:bCs/>
          <w:sz w:val="24"/>
          <w:szCs w:val="24"/>
        </w:rPr>
        <w:t>. 394</w:t>
      </w:r>
      <w:r w:rsidRPr="00126493">
        <w:rPr>
          <w:rFonts w:ascii="Garamond" w:hAnsi="Garamond" w:cs="Calibri"/>
          <w:bCs/>
          <w:sz w:val="24"/>
          <w:szCs w:val="24"/>
        </w:rPr>
        <w:t xml:space="preserve"> del </w:t>
      </w:r>
      <w:r w:rsidR="00153ADD">
        <w:rPr>
          <w:rFonts w:ascii="Garamond" w:hAnsi="Garamond" w:cs="Calibri"/>
          <w:bCs/>
          <w:sz w:val="24"/>
          <w:szCs w:val="24"/>
        </w:rPr>
        <w:t>6/03</w:t>
      </w:r>
      <w:r w:rsidR="00126493" w:rsidRPr="00126493">
        <w:rPr>
          <w:rFonts w:ascii="Garamond" w:hAnsi="Garamond" w:cs="Calibri"/>
          <w:bCs/>
          <w:sz w:val="24"/>
          <w:szCs w:val="24"/>
        </w:rPr>
        <w:t>/2015</w:t>
      </w:r>
      <w:r w:rsidRPr="00126493">
        <w:rPr>
          <w:rFonts w:ascii="Garamond" w:hAnsi="Garamond" w:cs="Calibri"/>
          <w:bCs/>
          <w:sz w:val="24"/>
          <w:szCs w:val="24"/>
        </w:rPr>
        <w:t xml:space="preserve"> “LR 49/1996, art 12: Linee annuali per la gestione del SSR per  l’anno 201</w:t>
      </w:r>
      <w:r w:rsidR="00126493" w:rsidRPr="00126493">
        <w:rPr>
          <w:rFonts w:ascii="Garamond" w:hAnsi="Garamond" w:cs="Calibri"/>
          <w:bCs/>
          <w:sz w:val="24"/>
          <w:szCs w:val="24"/>
        </w:rPr>
        <w:t>5</w:t>
      </w:r>
      <w:r w:rsidRPr="00126493">
        <w:rPr>
          <w:rFonts w:ascii="Garamond" w:hAnsi="Garamond" w:cs="Calibri"/>
          <w:bCs/>
          <w:sz w:val="24"/>
          <w:szCs w:val="24"/>
        </w:rPr>
        <w:t xml:space="preserve"> ”;</w:t>
      </w:r>
    </w:p>
    <w:p w:rsidR="00603E6D" w:rsidRDefault="00603E6D" w:rsidP="00603E6D">
      <w:pPr>
        <w:numPr>
          <w:ilvl w:val="0"/>
          <w:numId w:val="26"/>
        </w:numPr>
        <w:autoSpaceDE w:val="0"/>
        <w:autoSpaceDN w:val="0"/>
        <w:adjustRightInd w:val="0"/>
        <w:spacing w:after="0" w:line="360" w:lineRule="auto"/>
        <w:ind w:left="714" w:hanging="357"/>
        <w:jc w:val="both"/>
        <w:rPr>
          <w:rFonts w:ascii="Garamond" w:hAnsi="Garamond" w:cs="Calibri"/>
          <w:bCs/>
          <w:sz w:val="24"/>
          <w:szCs w:val="24"/>
        </w:rPr>
      </w:pPr>
      <w:r w:rsidRPr="00126493">
        <w:rPr>
          <w:rFonts w:ascii="Garamond" w:hAnsi="Garamond" w:cs="Calibri"/>
          <w:bCs/>
          <w:sz w:val="24"/>
          <w:szCs w:val="24"/>
        </w:rPr>
        <w:t>Indicazioni metodologiche ed operative per la redazione dei Piani attuativi locali (PAL) 201</w:t>
      </w:r>
      <w:r w:rsidR="00126493" w:rsidRPr="00126493">
        <w:rPr>
          <w:rFonts w:ascii="Garamond" w:hAnsi="Garamond" w:cs="Calibri"/>
          <w:bCs/>
          <w:sz w:val="24"/>
          <w:szCs w:val="24"/>
        </w:rPr>
        <w:t>5</w:t>
      </w:r>
      <w:r w:rsidRPr="00126493">
        <w:rPr>
          <w:rFonts w:ascii="Garamond" w:hAnsi="Garamond" w:cs="Calibri"/>
          <w:bCs/>
          <w:sz w:val="24"/>
          <w:szCs w:val="24"/>
        </w:rPr>
        <w:t>;</w:t>
      </w:r>
    </w:p>
    <w:p w:rsidR="00DA51E0" w:rsidRPr="0033538F" w:rsidRDefault="00DA51E0" w:rsidP="00DA51E0">
      <w:pPr>
        <w:pStyle w:val="Paragrafoelenco"/>
        <w:numPr>
          <w:ilvl w:val="0"/>
          <w:numId w:val="26"/>
        </w:numPr>
        <w:autoSpaceDE w:val="0"/>
        <w:autoSpaceDN w:val="0"/>
        <w:adjustRightInd w:val="0"/>
        <w:spacing w:line="360" w:lineRule="auto"/>
        <w:ind w:left="714" w:hanging="357"/>
        <w:jc w:val="both"/>
        <w:rPr>
          <w:rFonts w:ascii="Garamond" w:hAnsi="Garamond" w:cs="Calibri"/>
          <w:bCs/>
        </w:rPr>
      </w:pPr>
      <w:r w:rsidRPr="0033538F">
        <w:rPr>
          <w:rFonts w:ascii="Garamond" w:eastAsia="Calibri" w:hAnsi="Garamond" w:cs="Calibri"/>
          <w:bCs/>
          <w:lang w:eastAsia="en-US"/>
        </w:rPr>
        <w:t xml:space="preserve">Legge Regionale n. 49/1996 e </w:t>
      </w:r>
      <w:proofErr w:type="spellStart"/>
      <w:r w:rsidRPr="0033538F">
        <w:rPr>
          <w:rFonts w:ascii="Garamond" w:eastAsia="Calibri" w:hAnsi="Garamond" w:cs="Calibri"/>
          <w:bCs/>
          <w:lang w:eastAsia="en-US"/>
        </w:rPr>
        <w:t>s.m.i.</w:t>
      </w:r>
      <w:proofErr w:type="spellEnd"/>
      <w:r w:rsidRPr="0033538F">
        <w:rPr>
          <w:rFonts w:ascii="Garamond" w:eastAsia="Calibri" w:hAnsi="Garamond" w:cs="Calibri"/>
          <w:bCs/>
          <w:lang w:eastAsia="en-US"/>
        </w:rPr>
        <w:t>, in particolare quelle contenute nel Titolo III,</w:t>
      </w:r>
      <w:r w:rsidR="0033538F" w:rsidRPr="0033538F">
        <w:rPr>
          <w:rFonts w:ascii="Garamond" w:eastAsia="Calibri" w:hAnsi="Garamond" w:cs="Calibri"/>
          <w:bCs/>
          <w:lang w:eastAsia="en-US"/>
        </w:rPr>
        <w:t xml:space="preserve"> </w:t>
      </w:r>
      <w:r w:rsidRPr="0033538F">
        <w:rPr>
          <w:rFonts w:ascii="Garamond" w:eastAsia="Calibri" w:hAnsi="Garamond" w:cs="Calibri"/>
          <w:bCs/>
          <w:lang w:eastAsia="en-US"/>
        </w:rPr>
        <w:t>disciplinanti il processo e le modalità di programmazione triennale ed annuale delle</w:t>
      </w:r>
      <w:r w:rsidR="0033538F" w:rsidRPr="0033538F">
        <w:rPr>
          <w:rFonts w:ascii="Garamond" w:eastAsia="Calibri" w:hAnsi="Garamond" w:cs="Calibri"/>
          <w:bCs/>
          <w:lang w:eastAsia="en-US"/>
        </w:rPr>
        <w:t xml:space="preserve"> </w:t>
      </w:r>
      <w:r w:rsidRPr="0033538F">
        <w:rPr>
          <w:rFonts w:ascii="Garamond" w:eastAsia="Calibri" w:hAnsi="Garamond" w:cs="Calibri"/>
          <w:bCs/>
        </w:rPr>
        <w:t>Aziende del Servizio Sanitario del Friuli Venezia Giulia</w:t>
      </w:r>
      <w:r w:rsidR="0033538F">
        <w:rPr>
          <w:rFonts w:ascii="Garamond" w:eastAsia="Calibri" w:hAnsi="Garamond" w:cs="Calibri"/>
          <w:bCs/>
        </w:rPr>
        <w:t>;</w:t>
      </w:r>
    </w:p>
    <w:p w:rsidR="00126493" w:rsidRPr="00126493" w:rsidRDefault="00126493" w:rsidP="00126493">
      <w:pPr>
        <w:pStyle w:val="Paragrafoelenco"/>
        <w:numPr>
          <w:ilvl w:val="0"/>
          <w:numId w:val="26"/>
        </w:numPr>
        <w:autoSpaceDE w:val="0"/>
        <w:autoSpaceDN w:val="0"/>
        <w:adjustRightInd w:val="0"/>
        <w:spacing w:line="360" w:lineRule="auto"/>
        <w:jc w:val="both"/>
        <w:rPr>
          <w:rFonts w:ascii="Garamond" w:hAnsi="Garamond" w:cs="Calibri"/>
          <w:bCs/>
        </w:rPr>
      </w:pPr>
      <w:r w:rsidRPr="00126493">
        <w:rPr>
          <w:rFonts w:ascii="Garamond" w:eastAsia="Calibri" w:hAnsi="Garamond" w:cs="Calibri"/>
          <w:bCs/>
        </w:rPr>
        <w:t>Legge Regionale n. 23/2004, e specificatamente di quelle relative al Capo II ed al Capo III in merito alla programmazione sanitaria, sociale e sociosanitaria nonché alle modalità di partecipazione degli enti locali a tale funzione</w:t>
      </w:r>
      <w:r>
        <w:rPr>
          <w:rFonts w:ascii="Garamond" w:eastAsia="Calibri" w:hAnsi="Garamond" w:cs="Calibri"/>
          <w:bCs/>
        </w:rPr>
        <w:t>;</w:t>
      </w:r>
    </w:p>
    <w:p w:rsidR="00126493" w:rsidRPr="00126493" w:rsidRDefault="00126493" w:rsidP="0033538F">
      <w:pPr>
        <w:pStyle w:val="Paragrafoelenco"/>
        <w:numPr>
          <w:ilvl w:val="0"/>
          <w:numId w:val="26"/>
        </w:numPr>
        <w:autoSpaceDE w:val="0"/>
        <w:autoSpaceDN w:val="0"/>
        <w:adjustRightInd w:val="0"/>
        <w:spacing w:line="360" w:lineRule="auto"/>
        <w:jc w:val="both"/>
        <w:rPr>
          <w:rFonts w:ascii="Garamond" w:eastAsia="Calibri" w:hAnsi="Garamond" w:cs="Calibri"/>
          <w:bCs/>
        </w:rPr>
      </w:pPr>
      <w:r w:rsidRPr="00126493">
        <w:rPr>
          <w:rFonts w:ascii="Garamond" w:eastAsia="Calibri" w:hAnsi="Garamond" w:cs="Calibri"/>
          <w:bCs/>
        </w:rPr>
        <w:t>Legge regionale n. 17/2014 e specificamente l’art. 55 ove è previsto che in fase di prima applicazione i termini per l’adozione del programma annuale e del bilancio preventivo degli enti del SSR per l’anno 2015 sono prorogati al 31 marzo 2015</w:t>
      </w:r>
      <w:r>
        <w:rPr>
          <w:rFonts w:ascii="Garamond" w:eastAsia="Calibri" w:hAnsi="Garamond" w:cs="Calibri"/>
          <w:bCs/>
        </w:rPr>
        <w:t>;</w:t>
      </w:r>
    </w:p>
    <w:p w:rsidR="00603E6D" w:rsidRDefault="00603E6D" w:rsidP="00603E6D">
      <w:pPr>
        <w:numPr>
          <w:ilvl w:val="0"/>
          <w:numId w:val="26"/>
        </w:numPr>
        <w:autoSpaceDE w:val="0"/>
        <w:autoSpaceDN w:val="0"/>
        <w:adjustRightInd w:val="0"/>
        <w:spacing w:after="0" w:line="360" w:lineRule="auto"/>
        <w:ind w:left="714" w:hanging="357"/>
        <w:jc w:val="both"/>
        <w:rPr>
          <w:rFonts w:ascii="Garamond" w:hAnsi="Garamond" w:cs="Calibri"/>
          <w:bCs/>
          <w:sz w:val="24"/>
          <w:szCs w:val="24"/>
        </w:rPr>
      </w:pPr>
      <w:r w:rsidRPr="00126493">
        <w:rPr>
          <w:rFonts w:ascii="Garamond" w:hAnsi="Garamond" w:cs="Calibri"/>
          <w:bCs/>
          <w:sz w:val="24"/>
          <w:szCs w:val="24"/>
        </w:rPr>
        <w:t xml:space="preserve">Decreto del Direttore Generale n. </w:t>
      </w:r>
      <w:r w:rsidR="00126493" w:rsidRPr="00126493">
        <w:rPr>
          <w:rFonts w:ascii="Garamond" w:hAnsi="Garamond" w:cs="Calibri"/>
          <w:bCs/>
          <w:sz w:val="24"/>
          <w:szCs w:val="24"/>
        </w:rPr>
        <w:t>183</w:t>
      </w:r>
      <w:r w:rsidRPr="00126493">
        <w:rPr>
          <w:rFonts w:ascii="Garamond" w:hAnsi="Garamond" w:cs="Calibri"/>
          <w:bCs/>
          <w:sz w:val="24"/>
          <w:szCs w:val="24"/>
        </w:rPr>
        <w:t xml:space="preserve"> del 31/</w:t>
      </w:r>
      <w:r w:rsidR="00126493" w:rsidRPr="00126493">
        <w:rPr>
          <w:rFonts w:ascii="Garamond" w:hAnsi="Garamond" w:cs="Calibri"/>
          <w:bCs/>
          <w:sz w:val="24"/>
          <w:szCs w:val="24"/>
        </w:rPr>
        <w:t>03/20</w:t>
      </w:r>
      <w:r w:rsidR="003A04E3">
        <w:rPr>
          <w:rFonts w:ascii="Garamond" w:hAnsi="Garamond" w:cs="Calibri"/>
          <w:bCs/>
          <w:sz w:val="24"/>
          <w:szCs w:val="24"/>
        </w:rPr>
        <w:t>1</w:t>
      </w:r>
      <w:r w:rsidR="00126493" w:rsidRPr="00126493">
        <w:rPr>
          <w:rFonts w:ascii="Garamond" w:hAnsi="Garamond" w:cs="Calibri"/>
          <w:bCs/>
          <w:sz w:val="24"/>
          <w:szCs w:val="24"/>
        </w:rPr>
        <w:t>5</w:t>
      </w:r>
      <w:r w:rsidRPr="00126493">
        <w:rPr>
          <w:rFonts w:ascii="Garamond" w:hAnsi="Garamond" w:cs="Calibri"/>
          <w:bCs/>
          <w:sz w:val="24"/>
          <w:szCs w:val="24"/>
        </w:rPr>
        <w:t xml:space="preserve"> “Adozione del Piano Attuativo Ospedaliero (PA</w:t>
      </w:r>
      <w:r w:rsidR="00126493" w:rsidRPr="00126493">
        <w:rPr>
          <w:rFonts w:ascii="Garamond" w:hAnsi="Garamond" w:cs="Calibri"/>
          <w:bCs/>
          <w:sz w:val="24"/>
          <w:szCs w:val="24"/>
        </w:rPr>
        <w:t>L</w:t>
      </w:r>
      <w:r w:rsidRPr="00126493">
        <w:rPr>
          <w:rFonts w:ascii="Garamond" w:hAnsi="Garamond" w:cs="Calibri"/>
          <w:bCs/>
          <w:sz w:val="24"/>
          <w:szCs w:val="24"/>
        </w:rPr>
        <w:t>) e del bilancio preventivo per l’anno 201</w:t>
      </w:r>
      <w:r w:rsidR="00126493" w:rsidRPr="00126493">
        <w:rPr>
          <w:rFonts w:ascii="Garamond" w:hAnsi="Garamond" w:cs="Calibri"/>
          <w:bCs/>
          <w:sz w:val="24"/>
          <w:szCs w:val="24"/>
        </w:rPr>
        <w:t>5</w:t>
      </w:r>
      <w:r w:rsidRPr="00126493">
        <w:rPr>
          <w:rFonts w:ascii="Garamond" w:hAnsi="Garamond" w:cs="Calibri"/>
          <w:bCs/>
          <w:sz w:val="24"/>
          <w:szCs w:val="24"/>
        </w:rPr>
        <w:t>”</w:t>
      </w:r>
    </w:p>
    <w:p w:rsidR="00603E6D" w:rsidRPr="00BE0ADF" w:rsidRDefault="00603E6D" w:rsidP="00603E6D">
      <w:pPr>
        <w:autoSpaceDE w:val="0"/>
        <w:autoSpaceDN w:val="0"/>
        <w:adjustRightInd w:val="0"/>
        <w:spacing w:after="0" w:line="360" w:lineRule="auto"/>
        <w:ind w:left="714"/>
        <w:rPr>
          <w:rFonts w:ascii="Garamond" w:hAnsi="Garamond" w:cs="Calibri"/>
          <w:bCs/>
          <w:sz w:val="24"/>
          <w:szCs w:val="24"/>
        </w:rPr>
      </w:pPr>
    </w:p>
    <w:p w:rsidR="003B0766" w:rsidRDefault="00B1052B" w:rsidP="00B1052B">
      <w:pPr>
        <w:autoSpaceDE w:val="0"/>
        <w:autoSpaceDN w:val="0"/>
        <w:adjustRightInd w:val="0"/>
        <w:spacing w:after="0" w:line="360" w:lineRule="auto"/>
        <w:jc w:val="both"/>
        <w:rPr>
          <w:rFonts w:ascii="Garamond" w:eastAsia="Times New Roman" w:hAnsi="Garamond"/>
          <w:color w:val="000000"/>
          <w:sz w:val="24"/>
          <w:szCs w:val="24"/>
          <w:lang w:eastAsia="it-IT"/>
        </w:rPr>
      </w:pPr>
      <w:r>
        <w:rPr>
          <w:rFonts w:ascii="Garamond" w:eastAsia="Times New Roman" w:hAnsi="Garamond"/>
          <w:color w:val="000000"/>
          <w:sz w:val="24"/>
          <w:szCs w:val="24"/>
          <w:lang w:eastAsia="it-IT"/>
        </w:rPr>
        <w:t xml:space="preserve">Il </w:t>
      </w:r>
      <w:r w:rsidRPr="00B1052B">
        <w:rPr>
          <w:rFonts w:ascii="Garamond" w:eastAsia="Times New Roman" w:hAnsi="Garamond"/>
          <w:color w:val="000000"/>
          <w:sz w:val="24"/>
          <w:szCs w:val="24"/>
          <w:lang w:eastAsia="it-IT"/>
        </w:rPr>
        <w:t xml:space="preserve">Piano attuativo </w:t>
      </w:r>
      <w:r w:rsidR="00C116F2">
        <w:rPr>
          <w:rFonts w:ascii="Garamond" w:eastAsia="Times New Roman" w:hAnsi="Garamond"/>
          <w:color w:val="000000"/>
          <w:sz w:val="24"/>
          <w:szCs w:val="24"/>
          <w:lang w:eastAsia="it-IT"/>
        </w:rPr>
        <w:t>locale</w:t>
      </w:r>
      <w:r w:rsidRPr="00B1052B">
        <w:rPr>
          <w:rFonts w:ascii="Garamond" w:eastAsia="Times New Roman" w:hAnsi="Garamond"/>
          <w:color w:val="000000"/>
          <w:sz w:val="24"/>
          <w:szCs w:val="24"/>
          <w:lang w:eastAsia="it-IT"/>
        </w:rPr>
        <w:t xml:space="preserve"> (PA</w:t>
      </w:r>
      <w:r w:rsidR="00C116F2">
        <w:rPr>
          <w:rFonts w:ascii="Garamond" w:eastAsia="Times New Roman" w:hAnsi="Garamond"/>
          <w:color w:val="000000"/>
          <w:sz w:val="24"/>
          <w:szCs w:val="24"/>
          <w:lang w:eastAsia="it-IT"/>
        </w:rPr>
        <w:t>L</w:t>
      </w:r>
      <w:r w:rsidRPr="00B1052B">
        <w:rPr>
          <w:rFonts w:ascii="Garamond" w:eastAsia="Times New Roman" w:hAnsi="Garamond"/>
          <w:color w:val="000000"/>
          <w:sz w:val="24"/>
          <w:szCs w:val="24"/>
          <w:lang w:eastAsia="it-IT"/>
        </w:rPr>
        <w:t>)</w:t>
      </w:r>
      <w:r>
        <w:rPr>
          <w:rFonts w:ascii="Garamond" w:eastAsia="Times New Roman" w:hAnsi="Garamond"/>
          <w:color w:val="000000"/>
          <w:sz w:val="24"/>
          <w:szCs w:val="24"/>
          <w:lang w:eastAsia="it-IT"/>
        </w:rPr>
        <w:t xml:space="preserve"> 201</w:t>
      </w:r>
      <w:r w:rsidR="00C116F2">
        <w:rPr>
          <w:rFonts w:ascii="Garamond" w:eastAsia="Times New Roman" w:hAnsi="Garamond"/>
          <w:color w:val="000000"/>
          <w:sz w:val="24"/>
          <w:szCs w:val="24"/>
          <w:lang w:eastAsia="it-IT"/>
        </w:rPr>
        <w:t>5</w:t>
      </w:r>
      <w:r>
        <w:rPr>
          <w:rFonts w:ascii="Garamond" w:eastAsia="Times New Roman" w:hAnsi="Garamond"/>
          <w:color w:val="000000"/>
          <w:sz w:val="24"/>
          <w:szCs w:val="24"/>
          <w:lang w:eastAsia="it-IT"/>
        </w:rPr>
        <w:t xml:space="preserve"> </w:t>
      </w:r>
      <w:r w:rsidR="005864DA">
        <w:rPr>
          <w:rFonts w:ascii="Garamond" w:eastAsia="Times New Roman" w:hAnsi="Garamond"/>
          <w:color w:val="000000"/>
          <w:sz w:val="24"/>
          <w:szCs w:val="24"/>
          <w:lang w:eastAsia="it-IT"/>
        </w:rPr>
        <w:t xml:space="preserve">esplicita a livello aziendale </w:t>
      </w:r>
      <w:r w:rsidR="005864DA" w:rsidRPr="005864DA">
        <w:rPr>
          <w:rFonts w:ascii="Garamond" w:eastAsia="Times New Roman" w:hAnsi="Garamond"/>
          <w:color w:val="000000"/>
          <w:sz w:val="24"/>
          <w:szCs w:val="24"/>
          <w:u w:val="single"/>
          <w:lang w:eastAsia="it-IT"/>
        </w:rPr>
        <w:t>le progettualità</w:t>
      </w:r>
      <w:r w:rsidR="005864DA">
        <w:rPr>
          <w:rFonts w:ascii="Garamond" w:eastAsia="Times New Roman" w:hAnsi="Garamond"/>
          <w:color w:val="000000"/>
          <w:sz w:val="24"/>
          <w:szCs w:val="24"/>
          <w:lang w:eastAsia="it-IT"/>
        </w:rPr>
        <w:t xml:space="preserve"> riguardanti:</w:t>
      </w:r>
    </w:p>
    <w:p w:rsidR="005864DA" w:rsidRDefault="005864DA" w:rsidP="005864DA">
      <w:pPr>
        <w:pStyle w:val="Paragrafoelenco"/>
        <w:numPr>
          <w:ilvl w:val="0"/>
          <w:numId w:val="21"/>
        </w:numPr>
        <w:autoSpaceDE w:val="0"/>
        <w:autoSpaceDN w:val="0"/>
        <w:adjustRightInd w:val="0"/>
        <w:spacing w:line="360" w:lineRule="auto"/>
        <w:jc w:val="both"/>
        <w:rPr>
          <w:rFonts w:ascii="Garamond" w:hAnsi="Garamond"/>
          <w:color w:val="000000"/>
          <w:lang w:eastAsia="it-IT"/>
        </w:rPr>
      </w:pPr>
      <w:r>
        <w:rPr>
          <w:rFonts w:ascii="Garamond" w:hAnsi="Garamond"/>
          <w:color w:val="000000"/>
          <w:lang w:eastAsia="it-IT"/>
        </w:rPr>
        <w:t xml:space="preserve">la prevenzione (screening regionali, allattamento al seno, </w:t>
      </w:r>
      <w:proofErr w:type="spellStart"/>
      <w:r>
        <w:rPr>
          <w:rFonts w:ascii="Garamond" w:hAnsi="Garamond"/>
          <w:color w:val="000000"/>
          <w:lang w:eastAsia="it-IT"/>
        </w:rPr>
        <w:t>etc</w:t>
      </w:r>
      <w:proofErr w:type="spellEnd"/>
      <w:r>
        <w:rPr>
          <w:rFonts w:ascii="Garamond" w:hAnsi="Garamond"/>
          <w:color w:val="000000"/>
          <w:lang w:eastAsia="it-IT"/>
        </w:rPr>
        <w:t>);</w:t>
      </w:r>
    </w:p>
    <w:p w:rsidR="005864DA" w:rsidRDefault="005864DA" w:rsidP="005864DA">
      <w:pPr>
        <w:pStyle w:val="Paragrafoelenco"/>
        <w:numPr>
          <w:ilvl w:val="0"/>
          <w:numId w:val="21"/>
        </w:numPr>
        <w:autoSpaceDE w:val="0"/>
        <w:autoSpaceDN w:val="0"/>
        <w:adjustRightInd w:val="0"/>
        <w:spacing w:line="360" w:lineRule="auto"/>
        <w:jc w:val="both"/>
        <w:rPr>
          <w:rFonts w:ascii="Garamond" w:hAnsi="Garamond"/>
          <w:color w:val="000000"/>
          <w:lang w:eastAsia="it-IT"/>
        </w:rPr>
      </w:pPr>
      <w:r>
        <w:rPr>
          <w:rFonts w:ascii="Garamond" w:hAnsi="Garamond"/>
          <w:color w:val="000000"/>
          <w:lang w:eastAsia="it-IT"/>
        </w:rPr>
        <w:t>il governo clinico e sicurezza delle cure;</w:t>
      </w:r>
    </w:p>
    <w:p w:rsidR="005864DA" w:rsidRDefault="005864DA" w:rsidP="005864DA">
      <w:pPr>
        <w:pStyle w:val="Paragrafoelenco"/>
        <w:numPr>
          <w:ilvl w:val="0"/>
          <w:numId w:val="21"/>
        </w:numPr>
        <w:autoSpaceDE w:val="0"/>
        <w:autoSpaceDN w:val="0"/>
        <w:adjustRightInd w:val="0"/>
        <w:spacing w:line="360" w:lineRule="auto"/>
        <w:jc w:val="both"/>
        <w:rPr>
          <w:rFonts w:ascii="Garamond" w:hAnsi="Garamond"/>
          <w:color w:val="000000"/>
          <w:lang w:eastAsia="it-IT"/>
        </w:rPr>
      </w:pPr>
      <w:r>
        <w:rPr>
          <w:rFonts w:ascii="Garamond" w:hAnsi="Garamond"/>
          <w:color w:val="000000"/>
          <w:lang w:eastAsia="it-IT"/>
        </w:rPr>
        <w:t>la programmazione dei livelli</w:t>
      </w:r>
      <w:r w:rsidR="004F1AE9">
        <w:rPr>
          <w:rFonts w:ascii="Garamond" w:hAnsi="Garamond"/>
          <w:color w:val="000000"/>
          <w:lang w:eastAsia="it-IT"/>
        </w:rPr>
        <w:t xml:space="preserve"> essenziali di assistenza (LEA);</w:t>
      </w:r>
    </w:p>
    <w:p w:rsidR="004F1AE9" w:rsidRDefault="004F1AE9" w:rsidP="004F1AE9">
      <w:pPr>
        <w:pStyle w:val="Paragrafoelenco"/>
        <w:numPr>
          <w:ilvl w:val="0"/>
          <w:numId w:val="21"/>
        </w:numPr>
        <w:autoSpaceDE w:val="0"/>
        <w:autoSpaceDN w:val="0"/>
        <w:adjustRightInd w:val="0"/>
        <w:spacing w:line="360" w:lineRule="auto"/>
        <w:jc w:val="both"/>
        <w:rPr>
          <w:rFonts w:ascii="Garamond" w:hAnsi="Garamond"/>
          <w:color w:val="000000"/>
          <w:lang w:eastAsia="it-IT"/>
        </w:rPr>
      </w:pPr>
      <w:r>
        <w:rPr>
          <w:rFonts w:ascii="Garamond" w:hAnsi="Garamond"/>
          <w:color w:val="000000"/>
          <w:lang w:eastAsia="it-IT"/>
        </w:rPr>
        <w:t>ulteriori</w:t>
      </w:r>
      <w:r w:rsidRPr="005864DA">
        <w:rPr>
          <w:rFonts w:ascii="Garamond" w:hAnsi="Garamond"/>
          <w:color w:val="000000"/>
          <w:lang w:eastAsia="it-IT"/>
        </w:rPr>
        <w:t xml:space="preserve"> obiettivi </w:t>
      </w:r>
      <w:r>
        <w:rPr>
          <w:rFonts w:ascii="Garamond" w:hAnsi="Garamond"/>
          <w:color w:val="000000"/>
          <w:lang w:eastAsia="it-IT"/>
        </w:rPr>
        <w:t xml:space="preserve">regionali </w:t>
      </w:r>
      <w:r w:rsidRPr="005864DA">
        <w:rPr>
          <w:rFonts w:ascii="Garamond" w:hAnsi="Garamond"/>
          <w:color w:val="000000"/>
          <w:lang w:eastAsia="it-IT"/>
        </w:rPr>
        <w:t>(tempi di attesa, riorganizzazione di alcune linee di lavoro sia di am</w:t>
      </w:r>
      <w:r>
        <w:rPr>
          <w:rFonts w:ascii="Garamond" w:hAnsi="Garamond"/>
          <w:color w:val="000000"/>
          <w:lang w:eastAsia="it-IT"/>
        </w:rPr>
        <w:t>bito sanitario che di supporto).</w:t>
      </w:r>
    </w:p>
    <w:p w:rsidR="00126493" w:rsidRDefault="00126493" w:rsidP="00126493">
      <w:pPr>
        <w:autoSpaceDE w:val="0"/>
        <w:autoSpaceDN w:val="0"/>
        <w:adjustRightInd w:val="0"/>
        <w:spacing w:after="0" w:line="360" w:lineRule="auto"/>
        <w:jc w:val="both"/>
        <w:rPr>
          <w:rFonts w:ascii="Garamond" w:eastAsia="Times New Roman" w:hAnsi="Garamond"/>
          <w:color w:val="000000"/>
          <w:sz w:val="24"/>
          <w:szCs w:val="24"/>
          <w:lang w:eastAsia="it-IT"/>
        </w:rPr>
      </w:pPr>
    </w:p>
    <w:p w:rsidR="005864DA" w:rsidRDefault="005864DA" w:rsidP="00126493">
      <w:pPr>
        <w:autoSpaceDE w:val="0"/>
        <w:autoSpaceDN w:val="0"/>
        <w:adjustRightInd w:val="0"/>
        <w:spacing w:after="0" w:line="360" w:lineRule="auto"/>
        <w:jc w:val="both"/>
        <w:rPr>
          <w:rFonts w:ascii="Garamond" w:eastAsia="Times New Roman" w:hAnsi="Garamond"/>
          <w:color w:val="000000"/>
          <w:sz w:val="24"/>
          <w:szCs w:val="24"/>
          <w:lang w:eastAsia="it-IT"/>
        </w:rPr>
      </w:pPr>
      <w:r w:rsidRPr="005864DA">
        <w:rPr>
          <w:rFonts w:ascii="Garamond" w:eastAsia="Times New Roman" w:hAnsi="Garamond"/>
          <w:color w:val="000000"/>
          <w:sz w:val="24"/>
          <w:szCs w:val="24"/>
          <w:lang w:eastAsia="it-IT"/>
        </w:rPr>
        <w:t>Il PA</w:t>
      </w:r>
      <w:r w:rsidR="00C116F2">
        <w:rPr>
          <w:rFonts w:ascii="Garamond" w:eastAsia="Times New Roman" w:hAnsi="Garamond"/>
          <w:color w:val="000000"/>
          <w:sz w:val="24"/>
          <w:szCs w:val="24"/>
          <w:lang w:eastAsia="it-IT"/>
        </w:rPr>
        <w:t>L</w:t>
      </w:r>
      <w:r w:rsidRPr="005864DA">
        <w:rPr>
          <w:rFonts w:ascii="Garamond" w:eastAsia="Times New Roman" w:hAnsi="Garamond"/>
          <w:color w:val="000000"/>
          <w:sz w:val="24"/>
          <w:szCs w:val="24"/>
          <w:lang w:eastAsia="it-IT"/>
        </w:rPr>
        <w:t xml:space="preserve"> evidenzia</w:t>
      </w:r>
      <w:r>
        <w:rPr>
          <w:rFonts w:ascii="Garamond" w:eastAsia="Times New Roman" w:hAnsi="Garamond"/>
          <w:color w:val="000000"/>
          <w:sz w:val="24"/>
          <w:szCs w:val="24"/>
          <w:lang w:eastAsia="it-IT"/>
        </w:rPr>
        <w:t xml:space="preserve"> inoltre le strategie inerenti la </w:t>
      </w:r>
      <w:r w:rsidRPr="005864DA">
        <w:rPr>
          <w:rFonts w:ascii="Garamond" w:eastAsia="Times New Roman" w:hAnsi="Garamond"/>
          <w:color w:val="000000"/>
          <w:sz w:val="24"/>
          <w:szCs w:val="24"/>
          <w:u w:val="single"/>
          <w:lang w:eastAsia="it-IT"/>
        </w:rPr>
        <w:t>gestione del personale</w:t>
      </w:r>
      <w:r w:rsidRPr="005864DA">
        <w:rPr>
          <w:rFonts w:ascii="Garamond" w:eastAsia="Times New Roman" w:hAnsi="Garamond"/>
          <w:color w:val="000000"/>
          <w:sz w:val="24"/>
          <w:szCs w:val="24"/>
          <w:lang w:eastAsia="it-IT"/>
        </w:rPr>
        <w:t xml:space="preserve"> sia i</w:t>
      </w:r>
      <w:r>
        <w:rPr>
          <w:rFonts w:ascii="Garamond" w:eastAsia="Times New Roman" w:hAnsi="Garamond"/>
          <w:color w:val="000000"/>
          <w:sz w:val="24"/>
          <w:szCs w:val="24"/>
          <w:lang w:eastAsia="it-IT"/>
        </w:rPr>
        <w:t>n termini di rispetto dei vincoli che di consistenza della dotazione organica, di copertura degli incarichi e di modalità per l’esternalizzazione dei servizi.</w:t>
      </w:r>
    </w:p>
    <w:p w:rsidR="00153ADD" w:rsidRDefault="00153ADD" w:rsidP="00126493">
      <w:pPr>
        <w:autoSpaceDE w:val="0"/>
        <w:autoSpaceDN w:val="0"/>
        <w:adjustRightInd w:val="0"/>
        <w:spacing w:after="0" w:line="360" w:lineRule="auto"/>
        <w:jc w:val="both"/>
        <w:rPr>
          <w:rFonts w:ascii="Garamond" w:eastAsia="Times New Roman" w:hAnsi="Garamond"/>
          <w:color w:val="000000"/>
          <w:sz w:val="24"/>
          <w:szCs w:val="24"/>
          <w:lang w:eastAsia="it-IT"/>
        </w:rPr>
      </w:pPr>
    </w:p>
    <w:p w:rsidR="00153ADD" w:rsidRDefault="00153ADD">
      <w:pPr>
        <w:rPr>
          <w:rFonts w:ascii="Garamond" w:eastAsia="Times New Roman" w:hAnsi="Garamond"/>
          <w:color w:val="000000"/>
          <w:sz w:val="24"/>
          <w:szCs w:val="24"/>
          <w:lang w:eastAsia="it-IT"/>
        </w:rPr>
      </w:pPr>
      <w:r>
        <w:rPr>
          <w:rFonts w:ascii="Garamond" w:eastAsia="Times New Roman" w:hAnsi="Garamond"/>
          <w:color w:val="000000"/>
          <w:sz w:val="24"/>
          <w:szCs w:val="24"/>
          <w:lang w:eastAsia="it-IT"/>
        </w:rPr>
        <w:br w:type="page"/>
      </w:r>
    </w:p>
    <w:p w:rsidR="005864DA" w:rsidRDefault="00126493" w:rsidP="00126493">
      <w:pPr>
        <w:autoSpaceDE w:val="0"/>
        <w:autoSpaceDN w:val="0"/>
        <w:adjustRightInd w:val="0"/>
        <w:spacing w:after="0" w:line="360" w:lineRule="auto"/>
        <w:jc w:val="both"/>
        <w:rPr>
          <w:rFonts w:ascii="Garamond" w:eastAsia="Times New Roman" w:hAnsi="Garamond"/>
          <w:color w:val="000000"/>
          <w:sz w:val="24"/>
          <w:szCs w:val="24"/>
          <w:lang w:eastAsia="it-IT"/>
        </w:rPr>
      </w:pPr>
      <w:r>
        <w:rPr>
          <w:rFonts w:ascii="Garamond" w:eastAsia="Times New Roman" w:hAnsi="Garamond"/>
          <w:color w:val="000000"/>
          <w:sz w:val="24"/>
          <w:szCs w:val="24"/>
          <w:lang w:eastAsia="it-IT"/>
        </w:rPr>
        <w:lastRenderedPageBreak/>
        <w:t>Il</w:t>
      </w:r>
      <w:r w:rsidR="005864DA">
        <w:rPr>
          <w:rFonts w:ascii="Garamond" w:eastAsia="Times New Roman" w:hAnsi="Garamond"/>
          <w:color w:val="000000"/>
          <w:sz w:val="24"/>
          <w:szCs w:val="24"/>
          <w:lang w:eastAsia="it-IT"/>
        </w:rPr>
        <w:t xml:space="preserve"> documento </w:t>
      </w:r>
      <w:r>
        <w:rPr>
          <w:rFonts w:ascii="Garamond" w:eastAsia="Times New Roman" w:hAnsi="Garamond"/>
          <w:color w:val="000000"/>
          <w:sz w:val="24"/>
          <w:szCs w:val="24"/>
          <w:lang w:eastAsia="it-IT"/>
        </w:rPr>
        <w:t>è</w:t>
      </w:r>
      <w:r w:rsidR="001C6940">
        <w:rPr>
          <w:rFonts w:ascii="Garamond" w:eastAsia="Times New Roman" w:hAnsi="Garamond"/>
          <w:color w:val="000000"/>
          <w:sz w:val="24"/>
          <w:szCs w:val="24"/>
          <w:lang w:eastAsia="it-IT"/>
        </w:rPr>
        <w:t xml:space="preserve"> </w:t>
      </w:r>
      <w:r w:rsidR="005864DA">
        <w:rPr>
          <w:rFonts w:ascii="Garamond" w:eastAsia="Times New Roman" w:hAnsi="Garamond"/>
          <w:color w:val="000000"/>
          <w:sz w:val="24"/>
          <w:szCs w:val="24"/>
          <w:lang w:eastAsia="it-IT"/>
        </w:rPr>
        <w:t>composto da:</w:t>
      </w:r>
    </w:p>
    <w:p w:rsidR="00126493" w:rsidRPr="00126493" w:rsidRDefault="00126493" w:rsidP="00126493">
      <w:pPr>
        <w:autoSpaceDE w:val="0"/>
        <w:autoSpaceDN w:val="0"/>
        <w:adjustRightInd w:val="0"/>
        <w:spacing w:after="0" w:line="360" w:lineRule="auto"/>
        <w:ind w:left="426"/>
        <w:rPr>
          <w:rFonts w:ascii="Garamond" w:eastAsia="Times New Roman" w:hAnsi="Garamond"/>
          <w:color w:val="000000"/>
          <w:sz w:val="24"/>
          <w:szCs w:val="24"/>
          <w:lang w:eastAsia="it-IT"/>
        </w:rPr>
      </w:pPr>
      <w:r w:rsidRPr="00126493">
        <w:rPr>
          <w:rFonts w:ascii="Garamond" w:eastAsia="Times New Roman" w:hAnsi="Garamond"/>
          <w:color w:val="000000"/>
          <w:sz w:val="24"/>
          <w:szCs w:val="24"/>
          <w:lang w:eastAsia="it-IT"/>
        </w:rPr>
        <w:t>a)</w:t>
      </w:r>
      <w:r w:rsidR="00153ADD">
        <w:rPr>
          <w:rFonts w:ascii="Garamond" w:eastAsia="Times New Roman" w:hAnsi="Garamond"/>
          <w:color w:val="000000"/>
          <w:sz w:val="24"/>
          <w:szCs w:val="24"/>
          <w:lang w:eastAsia="it-IT"/>
        </w:rPr>
        <w:t xml:space="preserve"> </w:t>
      </w:r>
      <w:r w:rsidRPr="00126493">
        <w:rPr>
          <w:rFonts w:ascii="Garamond" w:eastAsia="Times New Roman" w:hAnsi="Garamond"/>
          <w:color w:val="000000"/>
          <w:sz w:val="24"/>
          <w:szCs w:val="24"/>
          <w:lang w:eastAsia="it-IT"/>
        </w:rPr>
        <w:t>programma annuale;</w:t>
      </w:r>
    </w:p>
    <w:p w:rsidR="00126493" w:rsidRPr="00126493" w:rsidRDefault="00126493" w:rsidP="00126493">
      <w:pPr>
        <w:autoSpaceDE w:val="0"/>
        <w:autoSpaceDN w:val="0"/>
        <w:adjustRightInd w:val="0"/>
        <w:spacing w:after="0" w:line="360" w:lineRule="auto"/>
        <w:ind w:left="426"/>
        <w:rPr>
          <w:rFonts w:ascii="Garamond" w:eastAsia="Times New Roman" w:hAnsi="Garamond"/>
          <w:color w:val="000000"/>
          <w:sz w:val="24"/>
          <w:szCs w:val="24"/>
          <w:lang w:eastAsia="it-IT"/>
        </w:rPr>
      </w:pPr>
      <w:r w:rsidRPr="00126493">
        <w:rPr>
          <w:rFonts w:ascii="Garamond" w:eastAsia="Times New Roman" w:hAnsi="Garamond"/>
          <w:color w:val="000000"/>
          <w:sz w:val="24"/>
          <w:szCs w:val="24"/>
          <w:lang w:eastAsia="it-IT"/>
        </w:rPr>
        <w:t>b) bilancio economico preventivo annuale 2015 composto da:</w:t>
      </w:r>
    </w:p>
    <w:p w:rsidR="00126493" w:rsidRPr="00126493" w:rsidRDefault="00126493" w:rsidP="00126493">
      <w:pPr>
        <w:autoSpaceDE w:val="0"/>
        <w:autoSpaceDN w:val="0"/>
        <w:adjustRightInd w:val="0"/>
        <w:spacing w:after="0" w:line="360" w:lineRule="auto"/>
        <w:ind w:left="426"/>
        <w:rPr>
          <w:rFonts w:ascii="Garamond" w:eastAsia="Times New Roman" w:hAnsi="Garamond"/>
          <w:color w:val="000000"/>
          <w:sz w:val="24"/>
          <w:szCs w:val="24"/>
          <w:lang w:eastAsia="it-IT"/>
        </w:rPr>
      </w:pPr>
      <w:r w:rsidRPr="00126493">
        <w:rPr>
          <w:rFonts w:ascii="Garamond" w:eastAsia="Times New Roman" w:hAnsi="Garamond"/>
          <w:color w:val="000000"/>
          <w:sz w:val="24"/>
          <w:szCs w:val="24"/>
          <w:lang w:eastAsia="it-IT"/>
        </w:rPr>
        <w:t>- conto economico preventivo gestione sanitaria;</w:t>
      </w:r>
    </w:p>
    <w:p w:rsidR="00126493" w:rsidRPr="00126493" w:rsidRDefault="00126493" w:rsidP="00126493">
      <w:pPr>
        <w:autoSpaceDE w:val="0"/>
        <w:autoSpaceDN w:val="0"/>
        <w:adjustRightInd w:val="0"/>
        <w:spacing w:after="0" w:line="360" w:lineRule="auto"/>
        <w:ind w:left="426"/>
        <w:rPr>
          <w:rFonts w:ascii="Garamond" w:eastAsia="Times New Roman" w:hAnsi="Garamond"/>
          <w:color w:val="000000"/>
          <w:sz w:val="24"/>
          <w:szCs w:val="24"/>
          <w:lang w:eastAsia="it-IT"/>
        </w:rPr>
      </w:pPr>
      <w:r w:rsidRPr="00126493">
        <w:rPr>
          <w:rFonts w:ascii="Garamond" w:eastAsia="Times New Roman" w:hAnsi="Garamond"/>
          <w:color w:val="000000"/>
          <w:sz w:val="24"/>
          <w:szCs w:val="24"/>
          <w:lang w:eastAsia="it-IT"/>
        </w:rPr>
        <w:t>- conto economico preventivo gestione servizi sociali in delega;</w:t>
      </w:r>
    </w:p>
    <w:p w:rsidR="00126493" w:rsidRPr="00126493" w:rsidRDefault="00126493" w:rsidP="00126493">
      <w:pPr>
        <w:autoSpaceDE w:val="0"/>
        <w:autoSpaceDN w:val="0"/>
        <w:adjustRightInd w:val="0"/>
        <w:spacing w:after="0" w:line="360" w:lineRule="auto"/>
        <w:ind w:left="426"/>
        <w:rPr>
          <w:rFonts w:ascii="Garamond" w:eastAsia="Times New Roman" w:hAnsi="Garamond"/>
          <w:color w:val="000000"/>
          <w:sz w:val="24"/>
          <w:szCs w:val="24"/>
          <w:lang w:eastAsia="it-IT"/>
        </w:rPr>
      </w:pPr>
      <w:r w:rsidRPr="00126493">
        <w:rPr>
          <w:rFonts w:ascii="Garamond" w:eastAsia="Times New Roman" w:hAnsi="Garamond"/>
          <w:color w:val="000000"/>
          <w:sz w:val="24"/>
          <w:szCs w:val="24"/>
          <w:lang w:eastAsia="it-IT"/>
        </w:rPr>
        <w:t>- conto economico preventivo consolidato;</w:t>
      </w:r>
    </w:p>
    <w:p w:rsidR="00126493" w:rsidRPr="00126493" w:rsidRDefault="00126493" w:rsidP="00126493">
      <w:pPr>
        <w:autoSpaceDE w:val="0"/>
        <w:autoSpaceDN w:val="0"/>
        <w:adjustRightInd w:val="0"/>
        <w:spacing w:after="0" w:line="360" w:lineRule="auto"/>
        <w:ind w:left="426"/>
        <w:rPr>
          <w:rFonts w:ascii="Garamond" w:eastAsia="Times New Roman" w:hAnsi="Garamond"/>
          <w:color w:val="000000"/>
          <w:sz w:val="24"/>
          <w:szCs w:val="24"/>
          <w:lang w:eastAsia="it-IT"/>
        </w:rPr>
      </w:pPr>
      <w:r w:rsidRPr="00126493">
        <w:rPr>
          <w:rFonts w:ascii="Garamond" w:eastAsia="Times New Roman" w:hAnsi="Garamond"/>
          <w:color w:val="000000"/>
          <w:sz w:val="24"/>
          <w:szCs w:val="24"/>
          <w:lang w:eastAsia="it-IT"/>
        </w:rPr>
        <w:t>- rendiconto finanziario preventivo</w:t>
      </w:r>
    </w:p>
    <w:p w:rsidR="00126493" w:rsidRPr="00126493" w:rsidRDefault="00126493" w:rsidP="00126493">
      <w:pPr>
        <w:autoSpaceDE w:val="0"/>
        <w:autoSpaceDN w:val="0"/>
        <w:adjustRightInd w:val="0"/>
        <w:spacing w:after="0" w:line="360" w:lineRule="auto"/>
        <w:ind w:left="426"/>
        <w:rPr>
          <w:rFonts w:ascii="Garamond" w:eastAsia="Times New Roman" w:hAnsi="Garamond"/>
          <w:color w:val="000000"/>
          <w:sz w:val="24"/>
          <w:szCs w:val="24"/>
          <w:lang w:eastAsia="it-IT"/>
        </w:rPr>
      </w:pPr>
      <w:r w:rsidRPr="00126493">
        <w:rPr>
          <w:rFonts w:ascii="Garamond" w:eastAsia="Times New Roman" w:hAnsi="Garamond"/>
          <w:color w:val="000000"/>
          <w:sz w:val="24"/>
          <w:szCs w:val="24"/>
          <w:lang w:eastAsia="it-IT"/>
        </w:rPr>
        <w:t>c) piano per il contenimento dei tempi di attesa 2015</w:t>
      </w:r>
    </w:p>
    <w:p w:rsidR="005864DA" w:rsidRDefault="00126493" w:rsidP="00126493">
      <w:pPr>
        <w:autoSpaceDE w:val="0"/>
        <w:autoSpaceDN w:val="0"/>
        <w:adjustRightInd w:val="0"/>
        <w:spacing w:line="360" w:lineRule="auto"/>
        <w:ind w:left="426"/>
        <w:jc w:val="both"/>
        <w:rPr>
          <w:rFonts w:ascii="Garamond" w:eastAsia="Times New Roman" w:hAnsi="Garamond"/>
          <w:color w:val="000000"/>
          <w:sz w:val="24"/>
          <w:szCs w:val="24"/>
          <w:lang w:eastAsia="it-IT"/>
        </w:rPr>
      </w:pPr>
      <w:r w:rsidRPr="00126493">
        <w:rPr>
          <w:rFonts w:ascii="Garamond" w:eastAsia="Times New Roman" w:hAnsi="Garamond"/>
          <w:color w:val="000000"/>
          <w:sz w:val="24"/>
          <w:szCs w:val="24"/>
          <w:lang w:eastAsia="it-IT"/>
        </w:rPr>
        <w:t>d) tabelle LEA</w:t>
      </w:r>
    </w:p>
    <w:p w:rsidR="0033538F" w:rsidRPr="004107DC" w:rsidRDefault="0033538F" w:rsidP="0033538F">
      <w:pPr>
        <w:autoSpaceDE w:val="0"/>
        <w:autoSpaceDN w:val="0"/>
        <w:adjustRightInd w:val="0"/>
        <w:spacing w:after="0" w:line="240" w:lineRule="auto"/>
        <w:rPr>
          <w:rFonts w:ascii="Garamond" w:eastAsia="Times New Roman" w:hAnsi="Garamond"/>
          <w:b/>
          <w:color w:val="000000"/>
          <w:sz w:val="24"/>
          <w:szCs w:val="24"/>
          <w:lang w:eastAsia="it-IT"/>
        </w:rPr>
      </w:pPr>
      <w:r>
        <w:rPr>
          <w:rFonts w:ascii="Garamond" w:eastAsia="Times New Roman" w:hAnsi="Garamond"/>
          <w:b/>
          <w:color w:val="000000"/>
          <w:sz w:val="24"/>
          <w:szCs w:val="24"/>
          <w:lang w:eastAsia="it-IT"/>
        </w:rPr>
        <w:t>Il monitoraggio della gestione</w:t>
      </w:r>
    </w:p>
    <w:p w:rsidR="0033538F" w:rsidRPr="004107DC" w:rsidRDefault="0033538F" w:rsidP="0033538F">
      <w:pPr>
        <w:autoSpaceDE w:val="0"/>
        <w:autoSpaceDN w:val="0"/>
        <w:adjustRightInd w:val="0"/>
        <w:spacing w:after="0" w:line="240" w:lineRule="auto"/>
        <w:rPr>
          <w:rFonts w:ascii="Garamond" w:eastAsia="Times New Roman" w:hAnsi="Garamond"/>
          <w:color w:val="000000"/>
          <w:sz w:val="24"/>
          <w:szCs w:val="24"/>
          <w:lang w:eastAsia="it-IT"/>
        </w:rPr>
      </w:pPr>
    </w:p>
    <w:p w:rsidR="0033538F" w:rsidRDefault="0033538F" w:rsidP="0033538F">
      <w:pPr>
        <w:pStyle w:val="NormaleWeb"/>
        <w:spacing w:before="0" w:beforeAutospacing="0" w:after="0" w:afterAutospacing="0" w:line="360" w:lineRule="auto"/>
        <w:jc w:val="both"/>
        <w:rPr>
          <w:rFonts w:ascii="Garamond" w:eastAsia="Calibri" w:hAnsi="Garamond"/>
          <w:color w:val="000000"/>
          <w:lang w:eastAsia="en-US"/>
        </w:rPr>
      </w:pPr>
      <w:r w:rsidRPr="00B91C18">
        <w:rPr>
          <w:rFonts w:ascii="Garamond" w:eastAsia="Calibri" w:hAnsi="Garamond"/>
          <w:color w:val="000000"/>
          <w:lang w:eastAsia="en-US"/>
        </w:rPr>
        <w:t xml:space="preserve">Il Direttore generale trasmette </w:t>
      </w:r>
      <w:r>
        <w:rPr>
          <w:rFonts w:ascii="Garamond" w:eastAsia="Calibri" w:hAnsi="Garamond"/>
          <w:color w:val="000000"/>
          <w:lang w:eastAsia="en-US"/>
        </w:rPr>
        <w:t xml:space="preserve">alla Direzione Centrale Salute </w:t>
      </w:r>
      <w:r w:rsidRPr="00B91C18">
        <w:rPr>
          <w:rFonts w:ascii="Garamond" w:eastAsia="Calibri" w:hAnsi="Garamond"/>
          <w:color w:val="000000"/>
          <w:lang w:eastAsia="en-US"/>
        </w:rPr>
        <w:t>entro trenta giorni dalla fine di ogni trimestre, i rendiconti trimestrali di valutazione dell'andamento economico, finanziario e gestionale e le eventuali variazioni al bilancio preventivo.</w:t>
      </w:r>
      <w:r>
        <w:rPr>
          <w:rFonts w:ascii="Garamond" w:eastAsia="Calibri" w:hAnsi="Garamond"/>
          <w:color w:val="000000"/>
          <w:lang w:eastAsia="en-US"/>
        </w:rPr>
        <w:t xml:space="preserve"> </w:t>
      </w:r>
    </w:p>
    <w:p w:rsidR="0033538F" w:rsidRDefault="0033538F" w:rsidP="0033538F">
      <w:pPr>
        <w:pStyle w:val="NormaleWeb"/>
        <w:spacing w:before="0" w:beforeAutospacing="0" w:after="0" w:afterAutospacing="0" w:line="360" w:lineRule="auto"/>
        <w:jc w:val="both"/>
        <w:rPr>
          <w:rFonts w:ascii="Garamond" w:eastAsia="Calibri" w:hAnsi="Garamond"/>
          <w:color w:val="000000"/>
          <w:lang w:eastAsia="en-US"/>
        </w:rPr>
      </w:pPr>
      <w:r>
        <w:rPr>
          <w:rFonts w:ascii="Garamond" w:eastAsia="Calibri" w:hAnsi="Garamond"/>
          <w:color w:val="000000"/>
          <w:lang w:eastAsia="en-US"/>
        </w:rPr>
        <w:t>La Direzione Centrale Salute</w:t>
      </w:r>
      <w:r w:rsidRPr="00B91C18">
        <w:rPr>
          <w:rFonts w:ascii="Garamond" w:eastAsia="Calibri" w:hAnsi="Garamond"/>
          <w:color w:val="000000"/>
          <w:lang w:eastAsia="en-US"/>
        </w:rPr>
        <w:t xml:space="preserve"> utilizza i rendiconti trimestrali al fine di controllare trimestralmente l'andamento delle Aziende rispetto alle previsioni di programma annuale e di bilancio preventivo dal punto di vista economico, finanziario e gestionale e per proporre gli opportuni interventi correttivi.</w:t>
      </w:r>
    </w:p>
    <w:p w:rsidR="0033538F" w:rsidRPr="0040322F" w:rsidRDefault="0033538F" w:rsidP="0033538F">
      <w:pPr>
        <w:pStyle w:val="NormaleWeb"/>
        <w:spacing w:before="0" w:beforeAutospacing="0" w:after="0" w:afterAutospacing="0" w:line="360" w:lineRule="auto"/>
        <w:jc w:val="both"/>
        <w:rPr>
          <w:rFonts w:ascii="Garamond" w:eastAsia="Calibri" w:hAnsi="Garamond"/>
          <w:color w:val="000000"/>
          <w:lang w:eastAsia="en-US"/>
        </w:rPr>
      </w:pPr>
      <w:r>
        <w:rPr>
          <w:rFonts w:ascii="Garamond" w:eastAsia="Calibri" w:hAnsi="Garamond"/>
          <w:color w:val="000000"/>
          <w:lang w:eastAsia="en-US"/>
        </w:rPr>
        <w:t>I r</w:t>
      </w:r>
      <w:r w:rsidRPr="0040322F">
        <w:rPr>
          <w:rFonts w:ascii="Garamond" w:eastAsia="Calibri" w:hAnsi="Garamond"/>
          <w:color w:val="000000"/>
          <w:lang w:eastAsia="en-US"/>
        </w:rPr>
        <w:t>endiconti trimestrali</w:t>
      </w:r>
      <w:r>
        <w:rPr>
          <w:rFonts w:ascii="Garamond" w:eastAsia="Calibri" w:hAnsi="Garamond"/>
          <w:color w:val="000000"/>
          <w:lang w:eastAsia="en-US"/>
        </w:rPr>
        <w:t xml:space="preserve"> </w:t>
      </w:r>
      <w:r w:rsidRPr="0040322F">
        <w:rPr>
          <w:rFonts w:ascii="Garamond" w:eastAsia="Calibri" w:hAnsi="Garamond"/>
          <w:color w:val="000000"/>
          <w:lang w:eastAsia="en-US"/>
        </w:rPr>
        <w:t>evidenziano a livello di Azienda e di struttura operativa i risultati ottenuti rispetto alle previsioni di programma e di budget ed i rispettivi scostamenti</w:t>
      </w:r>
      <w:r>
        <w:rPr>
          <w:rFonts w:ascii="Garamond" w:eastAsia="Calibri" w:hAnsi="Garamond"/>
          <w:color w:val="000000"/>
          <w:lang w:eastAsia="en-US"/>
        </w:rPr>
        <w:t xml:space="preserve">; </w:t>
      </w:r>
      <w:r w:rsidRPr="0040322F">
        <w:rPr>
          <w:rFonts w:ascii="Garamond" w:eastAsia="Calibri" w:hAnsi="Garamond"/>
          <w:color w:val="000000"/>
          <w:lang w:eastAsia="en-US"/>
        </w:rPr>
        <w:t>hanno natura econ</w:t>
      </w:r>
      <w:r>
        <w:rPr>
          <w:rFonts w:ascii="Garamond" w:eastAsia="Calibri" w:hAnsi="Garamond"/>
          <w:color w:val="000000"/>
          <w:lang w:eastAsia="en-US"/>
        </w:rPr>
        <w:t xml:space="preserve">omica, finanziaria e gestionale e </w:t>
      </w:r>
      <w:r w:rsidRPr="0040322F">
        <w:rPr>
          <w:rFonts w:ascii="Garamond" w:eastAsia="Calibri" w:hAnsi="Garamond"/>
          <w:color w:val="000000"/>
          <w:lang w:eastAsia="en-US"/>
        </w:rPr>
        <w:t>sono redatti in modo uniforme agli schemi di cui all'articolo 35, comma 2, lettera e)</w:t>
      </w:r>
      <w:r>
        <w:rPr>
          <w:rFonts w:ascii="Garamond" w:eastAsia="Calibri" w:hAnsi="Garamond"/>
          <w:color w:val="000000"/>
          <w:lang w:eastAsia="en-US"/>
        </w:rPr>
        <w:t xml:space="preserve"> della </w:t>
      </w:r>
      <w:proofErr w:type="spellStart"/>
      <w:r>
        <w:rPr>
          <w:rFonts w:ascii="Garamond" w:eastAsia="Calibri" w:hAnsi="Garamond"/>
          <w:color w:val="000000"/>
          <w:lang w:eastAsia="en-US"/>
        </w:rPr>
        <w:t>L.R.</w:t>
      </w:r>
      <w:proofErr w:type="spellEnd"/>
      <w:r>
        <w:rPr>
          <w:rFonts w:ascii="Garamond" w:eastAsia="Calibri" w:hAnsi="Garamond"/>
          <w:color w:val="000000"/>
          <w:lang w:eastAsia="en-US"/>
        </w:rPr>
        <w:t xml:space="preserve"> n. 49/1996</w:t>
      </w:r>
      <w:r w:rsidRPr="0040322F">
        <w:rPr>
          <w:rFonts w:ascii="Garamond" w:eastAsia="Calibri" w:hAnsi="Garamond"/>
          <w:color w:val="000000"/>
          <w:lang w:eastAsia="en-US"/>
        </w:rPr>
        <w:t>.</w:t>
      </w:r>
    </w:p>
    <w:p w:rsidR="0033538F" w:rsidRDefault="0033538F" w:rsidP="004107DC">
      <w:pPr>
        <w:pStyle w:val="NormaleWeb"/>
        <w:spacing w:before="0" w:beforeAutospacing="0" w:after="0" w:afterAutospacing="0" w:line="360" w:lineRule="auto"/>
        <w:jc w:val="both"/>
        <w:rPr>
          <w:rFonts w:ascii="Garamond" w:eastAsia="Calibri" w:hAnsi="Garamond"/>
          <w:b/>
          <w:color w:val="000000"/>
          <w:lang w:eastAsia="en-US"/>
        </w:rPr>
      </w:pPr>
    </w:p>
    <w:p w:rsidR="0033538F" w:rsidRDefault="0033538F">
      <w:pPr>
        <w:rPr>
          <w:rFonts w:ascii="Garamond" w:hAnsi="Garamond"/>
          <w:b/>
          <w:color w:val="000000"/>
          <w:sz w:val="24"/>
          <w:szCs w:val="24"/>
        </w:rPr>
      </w:pPr>
      <w:r>
        <w:rPr>
          <w:rFonts w:ascii="Garamond" w:hAnsi="Garamond"/>
          <w:b/>
          <w:color w:val="000000"/>
        </w:rPr>
        <w:br w:type="page"/>
      </w:r>
    </w:p>
    <w:p w:rsidR="004107DC" w:rsidRDefault="005D4B1F" w:rsidP="004107DC">
      <w:pPr>
        <w:pStyle w:val="NormaleWeb"/>
        <w:spacing w:before="0" w:beforeAutospacing="0" w:after="0" w:afterAutospacing="0" w:line="360" w:lineRule="auto"/>
        <w:jc w:val="both"/>
        <w:rPr>
          <w:rFonts w:ascii="Garamond" w:eastAsia="Calibri" w:hAnsi="Garamond"/>
          <w:b/>
          <w:color w:val="000000"/>
          <w:lang w:eastAsia="en-US"/>
        </w:rPr>
      </w:pPr>
      <w:r>
        <w:rPr>
          <w:rFonts w:ascii="Garamond" w:eastAsia="Calibri" w:hAnsi="Garamond"/>
          <w:b/>
          <w:color w:val="000000"/>
          <w:lang w:eastAsia="en-US"/>
        </w:rPr>
        <w:lastRenderedPageBreak/>
        <w:t>I risultati della gestione</w:t>
      </w:r>
      <w:r w:rsidR="0033538F">
        <w:rPr>
          <w:rFonts w:ascii="Garamond" w:eastAsia="Calibri" w:hAnsi="Garamond"/>
          <w:b/>
          <w:color w:val="000000"/>
          <w:lang w:eastAsia="en-US"/>
        </w:rPr>
        <w:t>: attività e documento di bilancio</w:t>
      </w:r>
    </w:p>
    <w:p w:rsidR="00C46967" w:rsidRDefault="00C46967" w:rsidP="004107DC">
      <w:pPr>
        <w:pStyle w:val="NormaleWeb"/>
        <w:spacing w:before="0" w:beforeAutospacing="0" w:after="0" w:afterAutospacing="0" w:line="360" w:lineRule="auto"/>
        <w:jc w:val="both"/>
        <w:rPr>
          <w:rFonts w:ascii="Garamond" w:eastAsia="Calibri" w:hAnsi="Garamond"/>
          <w:b/>
          <w:color w:val="000000"/>
          <w:lang w:eastAsia="en-US"/>
        </w:rPr>
      </w:pPr>
    </w:p>
    <w:p w:rsidR="0033538F" w:rsidRPr="004107DC" w:rsidRDefault="003B2FB5" w:rsidP="004107DC">
      <w:pPr>
        <w:pStyle w:val="NormaleWeb"/>
        <w:spacing w:before="0" w:beforeAutospacing="0" w:after="0" w:afterAutospacing="0" w:line="360" w:lineRule="auto"/>
        <w:jc w:val="both"/>
        <w:rPr>
          <w:rFonts w:ascii="Garamond" w:eastAsia="Calibri" w:hAnsi="Garamond"/>
          <w:b/>
          <w:color w:val="000000"/>
          <w:lang w:eastAsia="en-US"/>
        </w:rPr>
      </w:pPr>
      <w:r>
        <w:rPr>
          <w:rFonts w:ascii="Garamond" w:eastAsia="Calibri" w:hAnsi="Garamond"/>
          <w:b/>
          <w:color w:val="000000"/>
          <w:lang w:eastAsia="en-US"/>
        </w:rPr>
        <w:t>STRUTTURA DELL’OFFERTA</w:t>
      </w:r>
    </w:p>
    <w:p w:rsidR="00C46967" w:rsidRPr="00953C92" w:rsidRDefault="00C46967" w:rsidP="00C46967">
      <w:pPr>
        <w:rPr>
          <w:rFonts w:ascii="Garamond" w:hAnsi="Garamond" w:cstheme="minorHAnsi"/>
          <w:b/>
          <w:sz w:val="24"/>
          <w:szCs w:val="24"/>
          <w:u w:val="single"/>
        </w:rPr>
      </w:pPr>
      <w:r w:rsidRPr="00953C92">
        <w:rPr>
          <w:rFonts w:ascii="Garamond" w:hAnsi="Garamond" w:cstheme="minorHAnsi"/>
          <w:b/>
          <w:sz w:val="24"/>
          <w:szCs w:val="24"/>
          <w:u w:val="single"/>
        </w:rPr>
        <w:t>Assistenza ospedaliera</w:t>
      </w:r>
    </w:p>
    <w:p w:rsidR="00C46967" w:rsidRPr="008929EB" w:rsidRDefault="00C46967" w:rsidP="00C46967">
      <w:pPr>
        <w:spacing w:line="360" w:lineRule="auto"/>
        <w:jc w:val="both"/>
        <w:rPr>
          <w:rFonts w:ascii="Garamond" w:hAnsi="Garamond"/>
          <w:sz w:val="24"/>
          <w:szCs w:val="24"/>
        </w:rPr>
      </w:pPr>
      <w:r w:rsidRPr="008929EB">
        <w:rPr>
          <w:rFonts w:ascii="Garamond" w:hAnsi="Garamond" w:cstheme="minorHAnsi"/>
          <w:sz w:val="24"/>
          <w:szCs w:val="24"/>
        </w:rPr>
        <w:t>L’AAS5 opera mediante 2 presidi a gestione diretta:</w:t>
      </w:r>
      <w:r w:rsidRPr="008929EB">
        <w:rPr>
          <w:rFonts w:ascii="Garamond" w:hAnsi="Garamond"/>
          <w:sz w:val="24"/>
          <w:szCs w:val="24"/>
        </w:rPr>
        <w:t xml:space="preserve"> </w:t>
      </w:r>
    </w:p>
    <w:p w:rsidR="00C46967" w:rsidRPr="008929EB" w:rsidRDefault="00C46967" w:rsidP="00C46967">
      <w:pPr>
        <w:numPr>
          <w:ilvl w:val="1"/>
          <w:numId w:val="38"/>
        </w:numPr>
        <w:spacing w:after="0" w:line="360" w:lineRule="auto"/>
        <w:ind w:left="709"/>
        <w:jc w:val="both"/>
        <w:rPr>
          <w:rFonts w:ascii="Garamond" w:hAnsi="Garamond"/>
          <w:sz w:val="24"/>
          <w:szCs w:val="24"/>
        </w:rPr>
      </w:pPr>
      <w:r w:rsidRPr="008929EB">
        <w:rPr>
          <w:rFonts w:ascii="Garamond" w:hAnsi="Garamond"/>
          <w:sz w:val="24"/>
          <w:szCs w:val="24"/>
        </w:rPr>
        <w:t xml:space="preserve">Presidio ospedaliero  “Santa Maria degli Angeli”  di Pordenone </w:t>
      </w:r>
    </w:p>
    <w:p w:rsidR="00C46967" w:rsidRPr="008929EB" w:rsidRDefault="00C46967" w:rsidP="00C46967">
      <w:pPr>
        <w:numPr>
          <w:ilvl w:val="1"/>
          <w:numId w:val="38"/>
        </w:numPr>
        <w:spacing w:after="0" w:line="360" w:lineRule="auto"/>
        <w:ind w:left="709"/>
        <w:jc w:val="both"/>
        <w:rPr>
          <w:rFonts w:ascii="Garamond" w:hAnsi="Garamond" w:cstheme="minorHAnsi"/>
          <w:sz w:val="24"/>
          <w:szCs w:val="24"/>
        </w:rPr>
      </w:pPr>
      <w:r w:rsidRPr="008929EB">
        <w:rPr>
          <w:rFonts w:ascii="Garamond" w:hAnsi="Garamond"/>
          <w:sz w:val="24"/>
          <w:szCs w:val="24"/>
        </w:rPr>
        <w:t xml:space="preserve">Presidio ospedaliero  “San Vito al Tagliamento – Spilimbergo” </w:t>
      </w:r>
    </w:p>
    <w:p w:rsidR="00C46967" w:rsidRPr="008929EB" w:rsidRDefault="00C46967" w:rsidP="00C46967">
      <w:pPr>
        <w:spacing w:line="360" w:lineRule="auto"/>
        <w:ind w:left="349"/>
        <w:jc w:val="both"/>
        <w:rPr>
          <w:rFonts w:ascii="Garamond" w:hAnsi="Garamond" w:cstheme="minorHAnsi"/>
          <w:sz w:val="24"/>
          <w:szCs w:val="24"/>
        </w:rPr>
      </w:pPr>
    </w:p>
    <w:p w:rsidR="00C46967" w:rsidRPr="008929EB" w:rsidRDefault="00C46967" w:rsidP="00C46967">
      <w:pPr>
        <w:spacing w:line="360" w:lineRule="auto"/>
        <w:ind w:left="349"/>
        <w:jc w:val="both"/>
        <w:rPr>
          <w:rFonts w:ascii="Garamond" w:hAnsi="Garamond" w:cstheme="minorHAnsi"/>
          <w:sz w:val="24"/>
          <w:szCs w:val="24"/>
        </w:rPr>
      </w:pPr>
      <w:r w:rsidRPr="008929EB">
        <w:rPr>
          <w:rFonts w:ascii="Garamond" w:hAnsi="Garamond" w:cstheme="minorHAnsi"/>
          <w:sz w:val="24"/>
          <w:szCs w:val="24"/>
        </w:rPr>
        <w:t xml:space="preserve">e una struttura privata accreditata - </w:t>
      </w:r>
      <w:r w:rsidRPr="008929EB">
        <w:rPr>
          <w:rFonts w:ascii="Garamond" w:hAnsi="Garamond" w:cstheme="minorHAnsi"/>
          <w:color w:val="000000"/>
          <w:sz w:val="24"/>
          <w:szCs w:val="24"/>
        </w:rPr>
        <w:t>C</w:t>
      </w:r>
      <w:r w:rsidRPr="008929EB">
        <w:rPr>
          <w:rFonts w:ascii="Garamond" w:hAnsi="Garamond" w:cs="Calibri"/>
          <w:color w:val="000000"/>
          <w:sz w:val="24"/>
          <w:szCs w:val="24"/>
        </w:rPr>
        <w:t>asa di Cura S. Giorgio</w:t>
      </w:r>
    </w:p>
    <w:p w:rsidR="00C46967" w:rsidRPr="008929EB" w:rsidRDefault="00C46967" w:rsidP="00C46967">
      <w:pPr>
        <w:spacing w:line="360" w:lineRule="auto"/>
        <w:rPr>
          <w:rFonts w:ascii="Garamond" w:hAnsi="Garamond" w:cstheme="minorHAnsi"/>
          <w:sz w:val="24"/>
          <w:szCs w:val="24"/>
        </w:rPr>
      </w:pPr>
      <w:r w:rsidRPr="008929EB">
        <w:rPr>
          <w:rFonts w:ascii="Garamond" w:hAnsi="Garamond" w:cstheme="minorHAnsi"/>
          <w:sz w:val="24"/>
          <w:szCs w:val="24"/>
        </w:rPr>
        <w:t>I posti letto direttamente gestiti sono pari a 822, quelli convenzionati sono pari a 170 (fonte dati modello HSP 12 e HSP 13 al 1.1.2015).</w:t>
      </w:r>
    </w:p>
    <w:p w:rsidR="00C46967" w:rsidRPr="008929EB" w:rsidRDefault="00C46967" w:rsidP="00C46967">
      <w:pPr>
        <w:spacing w:line="360" w:lineRule="auto"/>
        <w:rPr>
          <w:rFonts w:ascii="Garamond" w:hAnsi="Garamond" w:cstheme="minorHAnsi"/>
          <w:sz w:val="24"/>
          <w:szCs w:val="24"/>
        </w:rPr>
      </w:pPr>
    </w:p>
    <w:tbl>
      <w:tblPr>
        <w:tblW w:w="8480" w:type="dxa"/>
        <w:tblInd w:w="55" w:type="dxa"/>
        <w:tblCellMar>
          <w:left w:w="70" w:type="dxa"/>
          <w:right w:w="70" w:type="dxa"/>
        </w:tblCellMar>
        <w:tblLook w:val="04A0"/>
      </w:tblPr>
      <w:tblGrid>
        <w:gridCol w:w="3340"/>
        <w:gridCol w:w="1020"/>
        <w:gridCol w:w="1020"/>
        <w:gridCol w:w="1061"/>
        <w:gridCol w:w="1295"/>
        <w:gridCol w:w="1060"/>
      </w:tblGrid>
      <w:tr w:rsidR="00C46967" w:rsidRPr="008929EB" w:rsidTr="006E2FD9">
        <w:trPr>
          <w:trHeight w:val="450"/>
        </w:trPr>
        <w:tc>
          <w:tcPr>
            <w:tcW w:w="3340" w:type="dxa"/>
            <w:tcBorders>
              <w:top w:val="nil"/>
              <w:left w:val="nil"/>
              <w:bottom w:val="nil"/>
              <w:right w:val="nil"/>
            </w:tcBorders>
            <w:shd w:val="clear" w:color="auto" w:fill="auto"/>
            <w:noWrap/>
            <w:vAlign w:val="bottom"/>
            <w:hideMark/>
          </w:tcPr>
          <w:p w:rsidR="00C46967" w:rsidRPr="008929EB" w:rsidRDefault="00C46967" w:rsidP="006E2FD9">
            <w:pPr>
              <w:rPr>
                <w:rFonts w:ascii="Garamond" w:hAnsi="Garamond" w:cs="Calibri"/>
                <w:color w:val="000000"/>
                <w:sz w:val="24"/>
                <w:szCs w:val="24"/>
              </w:rPr>
            </w:pPr>
          </w:p>
        </w:tc>
        <w:tc>
          <w:tcPr>
            <w:tcW w:w="1020" w:type="dxa"/>
            <w:tcBorders>
              <w:top w:val="single" w:sz="4" w:space="0" w:color="000000"/>
              <w:left w:val="single" w:sz="4" w:space="0" w:color="000000"/>
              <w:bottom w:val="nil"/>
              <w:right w:val="single" w:sz="4" w:space="0" w:color="000000"/>
            </w:tcBorders>
            <w:shd w:val="clear" w:color="auto" w:fill="auto"/>
            <w:vAlign w:val="center"/>
            <w:hideMark/>
          </w:tcPr>
          <w:p w:rsidR="00C46967" w:rsidRPr="008929EB" w:rsidRDefault="00C46967" w:rsidP="006E2FD9">
            <w:pPr>
              <w:jc w:val="center"/>
              <w:rPr>
                <w:rFonts w:ascii="Garamond" w:hAnsi="Garamond" w:cs="Arial"/>
                <w:b/>
                <w:bCs/>
                <w:sz w:val="24"/>
                <w:szCs w:val="24"/>
              </w:rPr>
            </w:pPr>
            <w:r w:rsidRPr="008929EB">
              <w:rPr>
                <w:rFonts w:ascii="Garamond" w:hAnsi="Garamond" w:cs="Arial"/>
                <w:b/>
                <w:bCs/>
                <w:sz w:val="24"/>
                <w:szCs w:val="24"/>
              </w:rPr>
              <w:t>Day hospital</w:t>
            </w:r>
          </w:p>
        </w:tc>
        <w:tc>
          <w:tcPr>
            <w:tcW w:w="1020" w:type="dxa"/>
            <w:tcBorders>
              <w:top w:val="single" w:sz="4" w:space="0" w:color="000000"/>
              <w:left w:val="nil"/>
              <w:bottom w:val="nil"/>
              <w:right w:val="single" w:sz="4" w:space="0" w:color="000000"/>
            </w:tcBorders>
            <w:shd w:val="clear" w:color="auto" w:fill="auto"/>
            <w:vAlign w:val="center"/>
            <w:hideMark/>
          </w:tcPr>
          <w:p w:rsidR="00C46967" w:rsidRPr="008929EB" w:rsidRDefault="00C46967" w:rsidP="006E2FD9">
            <w:pPr>
              <w:jc w:val="center"/>
              <w:rPr>
                <w:rFonts w:ascii="Garamond" w:hAnsi="Garamond" w:cs="Arial"/>
                <w:b/>
                <w:bCs/>
                <w:sz w:val="24"/>
                <w:szCs w:val="24"/>
              </w:rPr>
            </w:pPr>
            <w:r w:rsidRPr="008929EB">
              <w:rPr>
                <w:rFonts w:ascii="Garamond" w:hAnsi="Garamond" w:cs="Arial"/>
                <w:b/>
                <w:bCs/>
                <w:sz w:val="24"/>
                <w:szCs w:val="24"/>
              </w:rPr>
              <w:t xml:space="preserve">Day </w:t>
            </w:r>
            <w:proofErr w:type="spellStart"/>
            <w:r w:rsidRPr="008929EB">
              <w:rPr>
                <w:rFonts w:ascii="Garamond" w:hAnsi="Garamond" w:cs="Arial"/>
                <w:b/>
                <w:bCs/>
                <w:sz w:val="24"/>
                <w:szCs w:val="24"/>
              </w:rPr>
              <w:t>surgery</w:t>
            </w:r>
            <w:proofErr w:type="spellEnd"/>
          </w:p>
        </w:tc>
        <w:tc>
          <w:tcPr>
            <w:tcW w:w="1020" w:type="dxa"/>
            <w:tcBorders>
              <w:top w:val="single" w:sz="4" w:space="0" w:color="000000"/>
              <w:left w:val="nil"/>
              <w:bottom w:val="nil"/>
              <w:right w:val="single" w:sz="4" w:space="0" w:color="000000"/>
            </w:tcBorders>
            <w:shd w:val="clear" w:color="auto" w:fill="auto"/>
            <w:vAlign w:val="center"/>
            <w:hideMark/>
          </w:tcPr>
          <w:p w:rsidR="00C46967" w:rsidRPr="008929EB" w:rsidRDefault="00C46967" w:rsidP="006E2FD9">
            <w:pPr>
              <w:jc w:val="center"/>
              <w:rPr>
                <w:rFonts w:ascii="Garamond" w:hAnsi="Garamond" w:cs="Arial"/>
                <w:b/>
                <w:bCs/>
                <w:sz w:val="24"/>
                <w:szCs w:val="24"/>
              </w:rPr>
            </w:pPr>
            <w:r w:rsidRPr="008929EB">
              <w:rPr>
                <w:rFonts w:ascii="Garamond" w:hAnsi="Garamond" w:cs="Arial"/>
                <w:b/>
                <w:bCs/>
                <w:sz w:val="24"/>
                <w:szCs w:val="24"/>
              </w:rPr>
              <w:t>Degenza ordinaria</w:t>
            </w:r>
          </w:p>
        </w:tc>
        <w:tc>
          <w:tcPr>
            <w:tcW w:w="1020" w:type="dxa"/>
            <w:tcBorders>
              <w:top w:val="single" w:sz="4" w:space="0" w:color="000000"/>
              <w:left w:val="nil"/>
              <w:bottom w:val="nil"/>
              <w:right w:val="nil"/>
            </w:tcBorders>
            <w:shd w:val="clear" w:color="auto" w:fill="auto"/>
            <w:vAlign w:val="center"/>
            <w:hideMark/>
          </w:tcPr>
          <w:p w:rsidR="00C46967" w:rsidRPr="008929EB" w:rsidRDefault="00C46967" w:rsidP="006E2FD9">
            <w:pPr>
              <w:jc w:val="center"/>
              <w:rPr>
                <w:rFonts w:ascii="Garamond" w:hAnsi="Garamond" w:cs="Arial"/>
                <w:b/>
                <w:bCs/>
                <w:sz w:val="24"/>
                <w:szCs w:val="24"/>
              </w:rPr>
            </w:pPr>
            <w:r w:rsidRPr="008929EB">
              <w:rPr>
                <w:rFonts w:ascii="Garamond" w:hAnsi="Garamond" w:cs="Arial"/>
                <w:b/>
                <w:bCs/>
                <w:sz w:val="24"/>
                <w:szCs w:val="24"/>
              </w:rPr>
              <w:t>Di cui Pagamento</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967" w:rsidRPr="008929EB" w:rsidRDefault="00C46967" w:rsidP="006E2FD9">
            <w:pPr>
              <w:jc w:val="center"/>
              <w:rPr>
                <w:rFonts w:ascii="Garamond" w:hAnsi="Garamond" w:cs="Arial"/>
                <w:b/>
                <w:bCs/>
                <w:sz w:val="24"/>
                <w:szCs w:val="24"/>
              </w:rPr>
            </w:pPr>
            <w:r w:rsidRPr="008929EB">
              <w:rPr>
                <w:rFonts w:ascii="Garamond" w:hAnsi="Garamond" w:cs="Arial"/>
                <w:b/>
                <w:bCs/>
                <w:sz w:val="24"/>
                <w:szCs w:val="24"/>
              </w:rPr>
              <w:t>totale</w:t>
            </w:r>
          </w:p>
        </w:tc>
      </w:tr>
      <w:tr w:rsidR="00C46967" w:rsidRPr="008929EB" w:rsidTr="006E2FD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Ospedale di Pordenone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65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477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32</w:t>
            </w:r>
          </w:p>
        </w:tc>
        <w:tc>
          <w:tcPr>
            <w:tcW w:w="106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574</w:t>
            </w:r>
          </w:p>
        </w:tc>
      </w:tr>
      <w:tr w:rsidR="00C46967" w:rsidRPr="008929EB" w:rsidTr="006E2FD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Ospedale di San Vito /Spilimbergo</w:t>
            </w: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26</w:t>
            </w: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0</w:t>
            </w: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204</w:t>
            </w: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18</w:t>
            </w:r>
          </w:p>
        </w:tc>
        <w:tc>
          <w:tcPr>
            <w:tcW w:w="106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248</w:t>
            </w:r>
          </w:p>
        </w:tc>
      </w:tr>
      <w:tr w:rsidR="00C46967" w:rsidRPr="008929EB" w:rsidTr="006E2FD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b/>
                <w:bCs/>
                <w:color w:val="000000"/>
                <w:sz w:val="24"/>
                <w:szCs w:val="24"/>
              </w:rPr>
            </w:pPr>
            <w:r w:rsidRPr="008929EB">
              <w:rPr>
                <w:rFonts w:ascii="Garamond" w:hAnsi="Garamond" w:cs="Calibri"/>
                <w:b/>
                <w:bCs/>
                <w:color w:val="000000"/>
                <w:sz w:val="24"/>
                <w:szCs w:val="24"/>
              </w:rPr>
              <w:t>Totale Presidi a gestione diretta</w:t>
            </w: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91</w:t>
            </w: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0</w:t>
            </w: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681</w:t>
            </w: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50</w:t>
            </w:r>
          </w:p>
        </w:tc>
        <w:tc>
          <w:tcPr>
            <w:tcW w:w="106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822</w:t>
            </w:r>
          </w:p>
        </w:tc>
      </w:tr>
      <w:tr w:rsidR="00C46967" w:rsidRPr="008929EB" w:rsidTr="006E2FD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b/>
                <w:bCs/>
                <w:color w:val="000000"/>
                <w:sz w:val="24"/>
                <w:szCs w:val="24"/>
              </w:rPr>
            </w:pP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p>
        </w:tc>
      </w:tr>
      <w:tr w:rsidR="00C46967" w:rsidRPr="008929EB" w:rsidTr="006E2FD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xml:space="preserve">Casa di Cura S. Giorgio </w:t>
            </w: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33</w:t>
            </w: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0</w:t>
            </w: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114</w:t>
            </w: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23</w:t>
            </w:r>
          </w:p>
        </w:tc>
        <w:tc>
          <w:tcPr>
            <w:tcW w:w="106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170</w:t>
            </w:r>
          </w:p>
        </w:tc>
      </w:tr>
      <w:tr w:rsidR="00C46967" w:rsidRPr="008929EB" w:rsidTr="006E2FD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b/>
                <w:bCs/>
                <w:color w:val="000000"/>
                <w:sz w:val="24"/>
                <w:szCs w:val="24"/>
              </w:rPr>
            </w:pPr>
            <w:r w:rsidRPr="008929EB">
              <w:rPr>
                <w:rFonts w:ascii="Garamond" w:hAnsi="Garamond" w:cs="Calibri"/>
                <w:b/>
                <w:bCs/>
                <w:color w:val="000000"/>
                <w:sz w:val="24"/>
                <w:szCs w:val="24"/>
              </w:rPr>
              <w:t>Totale Casa di cura convenzionata</w:t>
            </w: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33</w:t>
            </w: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0</w:t>
            </w: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114</w:t>
            </w:r>
          </w:p>
        </w:tc>
        <w:tc>
          <w:tcPr>
            <w:tcW w:w="102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23</w:t>
            </w:r>
          </w:p>
        </w:tc>
        <w:tc>
          <w:tcPr>
            <w:tcW w:w="1060"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170</w:t>
            </w:r>
          </w:p>
        </w:tc>
      </w:tr>
    </w:tbl>
    <w:p w:rsidR="00C46967" w:rsidRPr="008929EB" w:rsidRDefault="00C46967" w:rsidP="00C46967">
      <w:pPr>
        <w:rPr>
          <w:rFonts w:ascii="Garamond" w:hAnsi="Garamond" w:cstheme="minorHAnsi"/>
          <w:b/>
          <w:sz w:val="24"/>
          <w:szCs w:val="24"/>
        </w:rPr>
      </w:pPr>
    </w:p>
    <w:p w:rsidR="00C46967" w:rsidRDefault="00C46967" w:rsidP="00C46967">
      <w:pPr>
        <w:rPr>
          <w:rFonts w:ascii="Garamond" w:hAnsi="Garamond" w:cstheme="minorHAnsi"/>
          <w:b/>
          <w:sz w:val="24"/>
          <w:szCs w:val="24"/>
          <w:u w:val="single"/>
        </w:rPr>
      </w:pPr>
      <w:r>
        <w:rPr>
          <w:rFonts w:ascii="Garamond" w:hAnsi="Garamond" w:cstheme="minorHAnsi"/>
          <w:b/>
          <w:sz w:val="24"/>
          <w:szCs w:val="24"/>
          <w:u w:val="single"/>
        </w:rPr>
        <w:br w:type="page"/>
      </w:r>
    </w:p>
    <w:p w:rsidR="00C46967" w:rsidRPr="00953C92" w:rsidRDefault="00C46967" w:rsidP="00C46967">
      <w:pPr>
        <w:rPr>
          <w:rFonts w:ascii="Garamond" w:hAnsi="Garamond" w:cstheme="minorHAnsi"/>
          <w:b/>
          <w:sz w:val="24"/>
          <w:szCs w:val="24"/>
          <w:u w:val="single"/>
        </w:rPr>
      </w:pPr>
      <w:r w:rsidRPr="00953C92">
        <w:rPr>
          <w:rFonts w:ascii="Garamond" w:hAnsi="Garamond" w:cstheme="minorHAnsi"/>
          <w:b/>
          <w:sz w:val="24"/>
          <w:szCs w:val="24"/>
          <w:u w:val="single"/>
        </w:rPr>
        <w:lastRenderedPageBreak/>
        <w:t>Assistenza territoriale</w:t>
      </w:r>
    </w:p>
    <w:p w:rsidR="00C46967" w:rsidRPr="008929EB" w:rsidRDefault="00C46967" w:rsidP="00C46967">
      <w:pPr>
        <w:spacing w:line="360" w:lineRule="auto"/>
        <w:rPr>
          <w:rFonts w:ascii="Garamond" w:hAnsi="Garamond" w:cstheme="minorHAnsi"/>
          <w:sz w:val="24"/>
          <w:szCs w:val="24"/>
        </w:rPr>
      </w:pPr>
      <w:r w:rsidRPr="008929EB">
        <w:rPr>
          <w:rFonts w:ascii="Garamond" w:hAnsi="Garamond" w:cstheme="minorHAnsi"/>
          <w:sz w:val="24"/>
          <w:szCs w:val="24"/>
        </w:rPr>
        <w:t xml:space="preserve">L’AAS5 opera mediante 56 strutture pubbliche a gestione diretta e 39 strutture convenzionate (fonte dati modello HSP 12 e HSP 13 al 1.1.2015). </w:t>
      </w:r>
    </w:p>
    <w:p w:rsidR="00C46967" w:rsidRPr="008929EB" w:rsidRDefault="00C46967" w:rsidP="00C46967">
      <w:pPr>
        <w:spacing w:line="360" w:lineRule="auto"/>
        <w:rPr>
          <w:rFonts w:ascii="Garamond" w:hAnsi="Garamond" w:cstheme="minorHAnsi"/>
          <w:sz w:val="24"/>
          <w:szCs w:val="24"/>
        </w:rPr>
      </w:pPr>
      <w:r w:rsidRPr="008929EB">
        <w:rPr>
          <w:rFonts w:ascii="Garamond" w:hAnsi="Garamond" w:cstheme="minorHAnsi"/>
          <w:sz w:val="24"/>
          <w:szCs w:val="24"/>
        </w:rPr>
        <w:t xml:space="preserve">La tipologia di strutture e il tipo di assistenza erogata sono riassunte nelle seguenti tabelle </w:t>
      </w:r>
    </w:p>
    <w:p w:rsidR="00C46967" w:rsidRPr="008929EB" w:rsidRDefault="00C46967" w:rsidP="00C46967">
      <w:pPr>
        <w:rPr>
          <w:rFonts w:ascii="Garamond" w:hAnsi="Garamond" w:cstheme="minorHAnsi"/>
          <w:sz w:val="24"/>
          <w:szCs w:val="24"/>
        </w:rPr>
      </w:pPr>
      <w:r w:rsidRPr="008929EB">
        <w:rPr>
          <w:rFonts w:ascii="Garamond" w:hAnsi="Garamond" w:cstheme="minorHAnsi"/>
          <w:sz w:val="24"/>
          <w:szCs w:val="24"/>
        </w:rPr>
        <w:t>Per le strutture a gestione diretta:</w:t>
      </w:r>
    </w:p>
    <w:tbl>
      <w:tblPr>
        <w:tblW w:w="10545" w:type="dxa"/>
        <w:tblInd w:w="55" w:type="dxa"/>
        <w:tblCellMar>
          <w:left w:w="70" w:type="dxa"/>
          <w:right w:w="70" w:type="dxa"/>
        </w:tblCellMar>
        <w:tblLook w:val="04A0"/>
      </w:tblPr>
      <w:tblGrid>
        <w:gridCol w:w="4551"/>
        <w:gridCol w:w="666"/>
        <w:gridCol w:w="666"/>
        <w:gridCol w:w="666"/>
        <w:gridCol w:w="666"/>
        <w:gridCol w:w="666"/>
        <w:gridCol w:w="666"/>
        <w:gridCol w:w="666"/>
        <w:gridCol w:w="666"/>
        <w:gridCol w:w="666"/>
      </w:tblGrid>
      <w:tr w:rsidR="00421251" w:rsidRPr="008929EB" w:rsidTr="00421251">
        <w:trPr>
          <w:trHeight w:val="288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251" w:rsidRPr="008929EB" w:rsidRDefault="00421251" w:rsidP="006E2FD9">
            <w:pPr>
              <w:rPr>
                <w:rFonts w:ascii="Garamond" w:hAnsi="Garamond" w:cs="Calibri"/>
                <w:color w:val="000000"/>
                <w:sz w:val="24"/>
                <w:szCs w:val="24"/>
              </w:rPr>
            </w:pPr>
            <w:r w:rsidRPr="008929EB">
              <w:rPr>
                <w:rFonts w:ascii="Garamond" w:hAnsi="Garamond" w:cs="Calibri"/>
                <w:color w:val="000000"/>
                <w:sz w:val="24"/>
                <w:szCs w:val="24"/>
              </w:rPr>
              <w:t> </w:t>
            </w:r>
            <w:r w:rsidRPr="008929EB">
              <w:rPr>
                <w:rFonts w:ascii="Garamond" w:hAnsi="Garamond" w:cs="Calibri"/>
                <w:b/>
                <w:bCs/>
                <w:color w:val="000000"/>
                <w:sz w:val="24"/>
                <w:szCs w:val="24"/>
              </w:rPr>
              <w:t>Strutture a gestione diretta</w:t>
            </w:r>
          </w:p>
        </w:tc>
        <w:tc>
          <w:tcPr>
            <w:tcW w:w="666" w:type="dxa"/>
            <w:tcBorders>
              <w:top w:val="single" w:sz="4" w:space="0" w:color="auto"/>
              <w:left w:val="nil"/>
              <w:bottom w:val="single" w:sz="4" w:space="0" w:color="auto"/>
              <w:right w:val="single" w:sz="4" w:space="0" w:color="auto"/>
            </w:tcBorders>
            <w:shd w:val="clear" w:color="auto" w:fill="auto"/>
            <w:textDirection w:val="btLr"/>
            <w:vAlign w:val="center"/>
            <w:hideMark/>
          </w:tcPr>
          <w:p w:rsidR="00421251" w:rsidRPr="00421251" w:rsidRDefault="00421251" w:rsidP="00421251">
            <w:pPr>
              <w:jc w:val="center"/>
              <w:rPr>
                <w:rFonts w:cs="Calibri"/>
                <w:b/>
                <w:bCs/>
                <w:color w:val="000000"/>
                <w:sz w:val="16"/>
                <w:szCs w:val="16"/>
              </w:rPr>
            </w:pPr>
            <w:r w:rsidRPr="00421251">
              <w:rPr>
                <w:rFonts w:cs="Calibri"/>
                <w:b/>
                <w:bCs/>
                <w:color w:val="000000"/>
                <w:sz w:val="16"/>
                <w:szCs w:val="16"/>
              </w:rPr>
              <w:t>ATTIVITA` CLINICA</w:t>
            </w:r>
          </w:p>
        </w:tc>
        <w:tc>
          <w:tcPr>
            <w:tcW w:w="666" w:type="dxa"/>
            <w:tcBorders>
              <w:top w:val="single" w:sz="4" w:space="0" w:color="auto"/>
              <w:left w:val="nil"/>
              <w:bottom w:val="single" w:sz="4" w:space="0" w:color="auto"/>
              <w:right w:val="single" w:sz="4" w:space="0" w:color="auto"/>
            </w:tcBorders>
            <w:shd w:val="clear" w:color="auto" w:fill="auto"/>
            <w:textDirection w:val="btLr"/>
            <w:vAlign w:val="center"/>
            <w:hideMark/>
          </w:tcPr>
          <w:p w:rsidR="00421251" w:rsidRPr="00421251" w:rsidRDefault="00421251" w:rsidP="00421251">
            <w:pPr>
              <w:jc w:val="center"/>
              <w:rPr>
                <w:rFonts w:cs="Calibri"/>
                <w:b/>
                <w:bCs/>
                <w:color w:val="000000"/>
                <w:sz w:val="16"/>
                <w:szCs w:val="16"/>
              </w:rPr>
            </w:pPr>
            <w:r w:rsidRPr="00421251">
              <w:rPr>
                <w:rFonts w:cs="Calibri"/>
                <w:b/>
                <w:bCs/>
                <w:color w:val="000000"/>
                <w:sz w:val="16"/>
                <w:szCs w:val="16"/>
              </w:rPr>
              <w:t>DIAGNOSTICA STRUMENTALE E PER IMMAGINI</w:t>
            </w:r>
          </w:p>
        </w:tc>
        <w:tc>
          <w:tcPr>
            <w:tcW w:w="666" w:type="dxa"/>
            <w:tcBorders>
              <w:top w:val="single" w:sz="4" w:space="0" w:color="auto"/>
              <w:left w:val="nil"/>
              <w:bottom w:val="single" w:sz="4" w:space="0" w:color="auto"/>
              <w:right w:val="single" w:sz="4" w:space="0" w:color="auto"/>
            </w:tcBorders>
            <w:shd w:val="clear" w:color="auto" w:fill="auto"/>
            <w:textDirection w:val="btLr"/>
            <w:vAlign w:val="center"/>
            <w:hideMark/>
          </w:tcPr>
          <w:p w:rsidR="00421251" w:rsidRPr="00421251" w:rsidRDefault="00421251" w:rsidP="00421251">
            <w:pPr>
              <w:jc w:val="center"/>
              <w:rPr>
                <w:rFonts w:cs="Calibri"/>
                <w:b/>
                <w:bCs/>
                <w:color w:val="000000"/>
                <w:sz w:val="16"/>
                <w:szCs w:val="16"/>
              </w:rPr>
            </w:pPr>
            <w:r w:rsidRPr="00421251">
              <w:rPr>
                <w:rFonts w:cs="Calibri"/>
                <w:b/>
                <w:bCs/>
                <w:color w:val="000000"/>
                <w:sz w:val="16"/>
                <w:szCs w:val="16"/>
              </w:rPr>
              <w:t xml:space="preserve">ATTIVITA` </w:t>
            </w:r>
            <w:proofErr w:type="spellStart"/>
            <w:r w:rsidRPr="00421251">
              <w:rPr>
                <w:rFonts w:cs="Calibri"/>
                <w:b/>
                <w:bCs/>
                <w:color w:val="000000"/>
                <w:sz w:val="16"/>
                <w:szCs w:val="16"/>
              </w:rPr>
              <w:t>DI</w:t>
            </w:r>
            <w:proofErr w:type="spellEnd"/>
            <w:r w:rsidRPr="00421251">
              <w:rPr>
                <w:rFonts w:cs="Calibri"/>
                <w:b/>
                <w:bCs/>
                <w:color w:val="000000"/>
                <w:sz w:val="16"/>
                <w:szCs w:val="16"/>
              </w:rPr>
              <w:t xml:space="preserve"> LABORATORIO</w:t>
            </w:r>
          </w:p>
        </w:tc>
        <w:tc>
          <w:tcPr>
            <w:tcW w:w="666" w:type="dxa"/>
            <w:tcBorders>
              <w:top w:val="single" w:sz="4" w:space="0" w:color="auto"/>
              <w:left w:val="nil"/>
              <w:bottom w:val="single" w:sz="4" w:space="0" w:color="auto"/>
              <w:right w:val="single" w:sz="4" w:space="0" w:color="auto"/>
            </w:tcBorders>
            <w:shd w:val="clear" w:color="auto" w:fill="auto"/>
            <w:textDirection w:val="btLr"/>
            <w:vAlign w:val="center"/>
            <w:hideMark/>
          </w:tcPr>
          <w:p w:rsidR="00421251" w:rsidRPr="00421251" w:rsidRDefault="00421251" w:rsidP="00421251">
            <w:pPr>
              <w:jc w:val="center"/>
              <w:rPr>
                <w:rFonts w:cs="Calibri"/>
                <w:b/>
                <w:bCs/>
                <w:color w:val="000000"/>
                <w:sz w:val="16"/>
                <w:szCs w:val="16"/>
              </w:rPr>
            </w:pPr>
            <w:r w:rsidRPr="00421251">
              <w:rPr>
                <w:rFonts w:cs="Calibri"/>
                <w:b/>
                <w:bCs/>
                <w:color w:val="000000"/>
                <w:sz w:val="16"/>
                <w:szCs w:val="16"/>
              </w:rPr>
              <w:t xml:space="preserve">ATTIVITA` </w:t>
            </w:r>
            <w:proofErr w:type="spellStart"/>
            <w:r w:rsidRPr="00421251">
              <w:rPr>
                <w:rFonts w:cs="Calibri"/>
                <w:b/>
                <w:bCs/>
                <w:color w:val="000000"/>
                <w:sz w:val="16"/>
                <w:szCs w:val="16"/>
              </w:rPr>
              <w:t>DI</w:t>
            </w:r>
            <w:proofErr w:type="spellEnd"/>
            <w:r w:rsidRPr="00421251">
              <w:rPr>
                <w:rFonts w:cs="Calibri"/>
                <w:b/>
                <w:bCs/>
                <w:color w:val="000000"/>
                <w:sz w:val="16"/>
                <w:szCs w:val="16"/>
              </w:rPr>
              <w:t xml:space="preserve"> CONSULTORIO MATERNO-INFANTILE</w:t>
            </w:r>
          </w:p>
        </w:tc>
        <w:tc>
          <w:tcPr>
            <w:tcW w:w="666" w:type="dxa"/>
            <w:tcBorders>
              <w:top w:val="single" w:sz="4" w:space="0" w:color="auto"/>
              <w:left w:val="nil"/>
              <w:bottom w:val="single" w:sz="4" w:space="0" w:color="auto"/>
              <w:right w:val="single" w:sz="4" w:space="0" w:color="auto"/>
            </w:tcBorders>
            <w:shd w:val="clear" w:color="auto" w:fill="auto"/>
            <w:textDirection w:val="btLr"/>
            <w:vAlign w:val="center"/>
            <w:hideMark/>
          </w:tcPr>
          <w:p w:rsidR="00421251" w:rsidRPr="00421251" w:rsidRDefault="00421251" w:rsidP="00421251">
            <w:pPr>
              <w:jc w:val="center"/>
              <w:rPr>
                <w:rFonts w:cs="Calibri"/>
                <w:b/>
                <w:bCs/>
                <w:color w:val="000000"/>
                <w:sz w:val="16"/>
                <w:szCs w:val="16"/>
              </w:rPr>
            </w:pPr>
            <w:r w:rsidRPr="00421251">
              <w:rPr>
                <w:rFonts w:cs="Calibri"/>
                <w:b/>
                <w:bCs/>
                <w:color w:val="000000"/>
                <w:sz w:val="16"/>
                <w:szCs w:val="16"/>
              </w:rPr>
              <w:t>ASSISTENZA PSICHIATRICA</w:t>
            </w:r>
          </w:p>
        </w:tc>
        <w:tc>
          <w:tcPr>
            <w:tcW w:w="666" w:type="dxa"/>
            <w:tcBorders>
              <w:top w:val="single" w:sz="4" w:space="0" w:color="auto"/>
              <w:left w:val="nil"/>
              <w:bottom w:val="single" w:sz="4" w:space="0" w:color="auto"/>
              <w:right w:val="single" w:sz="4" w:space="0" w:color="auto"/>
            </w:tcBorders>
            <w:shd w:val="clear" w:color="auto" w:fill="auto"/>
            <w:textDirection w:val="btLr"/>
            <w:vAlign w:val="center"/>
            <w:hideMark/>
          </w:tcPr>
          <w:p w:rsidR="00421251" w:rsidRPr="00421251" w:rsidRDefault="00421251" w:rsidP="00421251">
            <w:pPr>
              <w:jc w:val="center"/>
              <w:rPr>
                <w:rFonts w:cs="Calibri"/>
                <w:b/>
                <w:bCs/>
                <w:color w:val="000000"/>
                <w:sz w:val="16"/>
                <w:szCs w:val="16"/>
              </w:rPr>
            </w:pPr>
            <w:r w:rsidRPr="00421251">
              <w:rPr>
                <w:rFonts w:cs="Calibri"/>
                <w:b/>
                <w:bCs/>
                <w:color w:val="000000"/>
                <w:sz w:val="16"/>
                <w:szCs w:val="16"/>
              </w:rPr>
              <w:t>ASSISTENZA PER TOSSICODIPENDENTI</w:t>
            </w:r>
          </w:p>
        </w:tc>
        <w:tc>
          <w:tcPr>
            <w:tcW w:w="666" w:type="dxa"/>
            <w:tcBorders>
              <w:top w:val="single" w:sz="4" w:space="0" w:color="auto"/>
              <w:left w:val="nil"/>
              <w:bottom w:val="single" w:sz="4" w:space="0" w:color="auto"/>
              <w:right w:val="single" w:sz="4" w:space="0" w:color="auto"/>
            </w:tcBorders>
            <w:shd w:val="clear" w:color="auto" w:fill="auto"/>
            <w:textDirection w:val="btLr"/>
            <w:vAlign w:val="center"/>
            <w:hideMark/>
          </w:tcPr>
          <w:p w:rsidR="00421251" w:rsidRPr="00421251" w:rsidRDefault="00421251" w:rsidP="00421251">
            <w:pPr>
              <w:jc w:val="center"/>
              <w:rPr>
                <w:rFonts w:cs="Calibri"/>
                <w:b/>
                <w:bCs/>
                <w:color w:val="000000"/>
                <w:sz w:val="16"/>
                <w:szCs w:val="16"/>
              </w:rPr>
            </w:pPr>
            <w:r w:rsidRPr="00421251">
              <w:rPr>
                <w:rFonts w:cs="Calibri"/>
                <w:b/>
                <w:bCs/>
                <w:color w:val="000000"/>
                <w:sz w:val="16"/>
                <w:szCs w:val="16"/>
              </w:rPr>
              <w:t>ASSISTENZA AI DISABILI FISICI</w:t>
            </w:r>
          </w:p>
        </w:tc>
        <w:tc>
          <w:tcPr>
            <w:tcW w:w="666" w:type="dxa"/>
            <w:tcBorders>
              <w:top w:val="single" w:sz="4" w:space="0" w:color="auto"/>
              <w:left w:val="nil"/>
              <w:bottom w:val="single" w:sz="4" w:space="0" w:color="auto"/>
              <w:right w:val="single" w:sz="4" w:space="0" w:color="auto"/>
            </w:tcBorders>
            <w:shd w:val="clear" w:color="auto" w:fill="auto"/>
            <w:textDirection w:val="btLr"/>
            <w:vAlign w:val="center"/>
            <w:hideMark/>
          </w:tcPr>
          <w:p w:rsidR="00421251" w:rsidRPr="00421251" w:rsidRDefault="00421251" w:rsidP="00421251">
            <w:pPr>
              <w:jc w:val="center"/>
              <w:rPr>
                <w:rFonts w:cs="Calibri"/>
                <w:b/>
                <w:bCs/>
                <w:color w:val="000000"/>
                <w:sz w:val="16"/>
                <w:szCs w:val="16"/>
              </w:rPr>
            </w:pPr>
            <w:r w:rsidRPr="00421251">
              <w:rPr>
                <w:rFonts w:cs="Calibri"/>
                <w:b/>
                <w:bCs/>
                <w:color w:val="000000"/>
                <w:sz w:val="16"/>
                <w:szCs w:val="16"/>
              </w:rPr>
              <w:t>ASSISTENZA AI MALATI TERMINALI</w:t>
            </w:r>
          </w:p>
        </w:tc>
        <w:tc>
          <w:tcPr>
            <w:tcW w:w="66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21251" w:rsidRPr="00421251" w:rsidRDefault="00421251" w:rsidP="00421251">
            <w:pPr>
              <w:jc w:val="center"/>
              <w:rPr>
                <w:rFonts w:cs="Calibri"/>
                <w:b/>
                <w:bCs/>
                <w:color w:val="000000"/>
                <w:sz w:val="16"/>
                <w:szCs w:val="16"/>
              </w:rPr>
            </w:pPr>
            <w:r w:rsidRPr="00421251">
              <w:rPr>
                <w:rFonts w:cs="Calibri"/>
                <w:b/>
                <w:bCs/>
                <w:color w:val="000000"/>
                <w:sz w:val="16"/>
                <w:szCs w:val="16"/>
              </w:rPr>
              <w:t>ATTIVITA` CLINICA</w:t>
            </w:r>
          </w:p>
        </w:tc>
      </w:tr>
      <w:tr w:rsidR="00C46967" w:rsidRPr="008929EB" w:rsidTr="00421251">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xml:space="preserve">ALTRO TIPO </w:t>
            </w:r>
            <w:proofErr w:type="spellStart"/>
            <w:r w:rsidRPr="008929EB">
              <w:rPr>
                <w:rFonts w:ascii="Garamond" w:hAnsi="Garamond" w:cs="Calibri"/>
                <w:color w:val="000000"/>
                <w:sz w:val="24"/>
                <w:szCs w:val="24"/>
              </w:rPr>
              <w:t>DI</w:t>
            </w:r>
            <w:proofErr w:type="spellEnd"/>
            <w:r w:rsidRPr="008929EB">
              <w:rPr>
                <w:rFonts w:ascii="Garamond" w:hAnsi="Garamond" w:cs="Calibri"/>
                <w:color w:val="000000"/>
                <w:sz w:val="24"/>
                <w:szCs w:val="24"/>
              </w:rPr>
              <w:t xml:space="preserve"> STRUTTURA TERRITORIALE              </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3</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6</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11</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6</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23</w:t>
            </w:r>
          </w:p>
        </w:tc>
      </w:tr>
      <w:tr w:rsidR="00C46967" w:rsidRPr="008929EB" w:rsidTr="00421251">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xml:space="preserve">AMBULATORIO E LABORATORIO                         </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11</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5</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5</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11</w:t>
            </w:r>
          </w:p>
        </w:tc>
      </w:tr>
      <w:tr w:rsidR="00C46967" w:rsidRPr="008929EB" w:rsidTr="00421251">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xml:space="preserve">STRUTTURA RESIDENZIALE                            </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10</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6</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1</w:t>
            </w:r>
          </w:p>
        </w:tc>
        <w:tc>
          <w:tcPr>
            <w:tcW w:w="666" w:type="dxa"/>
            <w:tcBorders>
              <w:top w:val="nil"/>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17</w:t>
            </w:r>
          </w:p>
        </w:tc>
      </w:tr>
      <w:tr w:rsidR="00C46967" w:rsidRPr="008929EB" w:rsidTr="00421251">
        <w:trPr>
          <w:trHeight w:val="300"/>
        </w:trPr>
        <w:tc>
          <w:tcPr>
            <w:tcW w:w="4551" w:type="dxa"/>
            <w:tcBorders>
              <w:top w:val="nil"/>
              <w:left w:val="single" w:sz="4" w:space="0" w:color="auto"/>
              <w:bottom w:val="nil"/>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xml:space="preserve">STRUTTURA SEMIRESIDENZIALE                        </w:t>
            </w:r>
          </w:p>
        </w:tc>
        <w:tc>
          <w:tcPr>
            <w:tcW w:w="666" w:type="dxa"/>
            <w:tcBorders>
              <w:top w:val="nil"/>
              <w:left w:val="nil"/>
              <w:bottom w:val="nil"/>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nil"/>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nil"/>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nil"/>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nil"/>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5</w:t>
            </w:r>
          </w:p>
        </w:tc>
        <w:tc>
          <w:tcPr>
            <w:tcW w:w="666" w:type="dxa"/>
            <w:tcBorders>
              <w:top w:val="nil"/>
              <w:left w:val="nil"/>
              <w:bottom w:val="nil"/>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nil"/>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nil"/>
              <w:right w:val="single" w:sz="4" w:space="0" w:color="auto"/>
            </w:tcBorders>
            <w:shd w:val="clear" w:color="auto" w:fill="auto"/>
            <w:noWrap/>
            <w:vAlign w:val="bottom"/>
            <w:hideMark/>
          </w:tcPr>
          <w:p w:rsidR="00C46967" w:rsidRPr="008929EB" w:rsidRDefault="00C46967" w:rsidP="006E2FD9">
            <w:pPr>
              <w:rPr>
                <w:rFonts w:ascii="Garamond" w:hAnsi="Garamond" w:cs="Calibri"/>
                <w:color w:val="000000"/>
                <w:sz w:val="24"/>
                <w:szCs w:val="24"/>
              </w:rPr>
            </w:pPr>
            <w:r w:rsidRPr="008929EB">
              <w:rPr>
                <w:rFonts w:ascii="Garamond" w:hAnsi="Garamond" w:cs="Calibri"/>
                <w:color w:val="000000"/>
                <w:sz w:val="24"/>
                <w:szCs w:val="24"/>
              </w:rPr>
              <w:t> </w:t>
            </w:r>
          </w:p>
        </w:tc>
        <w:tc>
          <w:tcPr>
            <w:tcW w:w="666" w:type="dxa"/>
            <w:tcBorders>
              <w:top w:val="nil"/>
              <w:left w:val="nil"/>
              <w:bottom w:val="nil"/>
              <w:right w:val="single" w:sz="4" w:space="0" w:color="auto"/>
            </w:tcBorders>
            <w:shd w:val="clear" w:color="auto" w:fill="auto"/>
            <w:noWrap/>
            <w:vAlign w:val="bottom"/>
            <w:hideMark/>
          </w:tcPr>
          <w:p w:rsidR="00C46967" w:rsidRPr="008929EB" w:rsidRDefault="00C46967" w:rsidP="006E2FD9">
            <w:pPr>
              <w:jc w:val="right"/>
              <w:rPr>
                <w:rFonts w:ascii="Garamond" w:hAnsi="Garamond" w:cs="Calibri"/>
                <w:color w:val="000000"/>
                <w:sz w:val="24"/>
                <w:szCs w:val="24"/>
              </w:rPr>
            </w:pPr>
            <w:r w:rsidRPr="008929EB">
              <w:rPr>
                <w:rFonts w:ascii="Garamond" w:hAnsi="Garamond" w:cs="Calibri"/>
                <w:color w:val="000000"/>
                <w:sz w:val="24"/>
                <w:szCs w:val="24"/>
              </w:rPr>
              <w:t>5</w:t>
            </w:r>
          </w:p>
        </w:tc>
      </w:tr>
      <w:tr w:rsidR="00C46967" w:rsidRPr="008929EB" w:rsidTr="00421251">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967" w:rsidRPr="008929EB" w:rsidRDefault="00C46967" w:rsidP="006E2FD9">
            <w:pPr>
              <w:rPr>
                <w:rFonts w:ascii="Garamond" w:hAnsi="Garamond" w:cs="Calibri"/>
                <w:b/>
                <w:bCs/>
                <w:color w:val="000000"/>
                <w:sz w:val="24"/>
                <w:szCs w:val="24"/>
              </w:rPr>
            </w:pPr>
            <w:r w:rsidRPr="008929EB">
              <w:rPr>
                <w:rFonts w:ascii="Garamond" w:hAnsi="Garamond" w:cs="Calibri"/>
                <w:b/>
                <w:bCs/>
                <w:color w:val="000000"/>
                <w:sz w:val="24"/>
                <w:szCs w:val="24"/>
              </w:rPr>
              <w:t>Totale complessivo</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14</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5</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5</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6</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26</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6</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6</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1</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C46967" w:rsidRPr="008929EB" w:rsidRDefault="00C46967" w:rsidP="006E2FD9">
            <w:pPr>
              <w:jc w:val="right"/>
              <w:rPr>
                <w:rFonts w:ascii="Garamond" w:hAnsi="Garamond" w:cs="Calibri"/>
                <w:b/>
                <w:bCs/>
                <w:color w:val="000000"/>
                <w:sz w:val="24"/>
                <w:szCs w:val="24"/>
              </w:rPr>
            </w:pPr>
            <w:r w:rsidRPr="008929EB">
              <w:rPr>
                <w:rFonts w:ascii="Garamond" w:hAnsi="Garamond" w:cs="Calibri"/>
                <w:b/>
                <w:bCs/>
                <w:color w:val="000000"/>
                <w:sz w:val="24"/>
                <w:szCs w:val="24"/>
              </w:rPr>
              <w:t>56</w:t>
            </w:r>
          </w:p>
        </w:tc>
      </w:tr>
    </w:tbl>
    <w:p w:rsidR="00C46967" w:rsidRPr="008929EB" w:rsidRDefault="00C46967" w:rsidP="00C46967">
      <w:pPr>
        <w:rPr>
          <w:rFonts w:ascii="Garamond" w:hAnsi="Garamond" w:cstheme="minorHAnsi"/>
          <w:sz w:val="24"/>
          <w:szCs w:val="24"/>
        </w:rPr>
      </w:pPr>
    </w:p>
    <w:p w:rsidR="00C46967" w:rsidRPr="008929EB" w:rsidRDefault="00C46967" w:rsidP="00C46967">
      <w:pPr>
        <w:rPr>
          <w:rFonts w:ascii="Garamond" w:hAnsi="Garamond" w:cstheme="minorHAnsi"/>
          <w:sz w:val="24"/>
          <w:szCs w:val="24"/>
        </w:rPr>
      </w:pPr>
      <w:r w:rsidRPr="008929EB">
        <w:rPr>
          <w:rFonts w:ascii="Garamond" w:hAnsi="Garamond" w:cstheme="minorHAnsi"/>
          <w:sz w:val="24"/>
          <w:szCs w:val="24"/>
        </w:rPr>
        <w:t xml:space="preserve">In ogni distretto viene assicurata l’attività: </w:t>
      </w:r>
    </w:p>
    <w:p w:rsidR="00C46967" w:rsidRPr="008929EB" w:rsidRDefault="00C46967" w:rsidP="00C46967">
      <w:pPr>
        <w:pStyle w:val="Paragrafoelenco"/>
        <w:numPr>
          <w:ilvl w:val="0"/>
          <w:numId w:val="36"/>
        </w:numPr>
        <w:suppressAutoHyphens w:val="0"/>
        <w:spacing w:line="360" w:lineRule="auto"/>
        <w:contextualSpacing/>
        <w:textAlignment w:val="auto"/>
        <w:rPr>
          <w:rFonts w:ascii="Garamond" w:hAnsi="Garamond" w:cstheme="minorHAnsi"/>
        </w:rPr>
      </w:pPr>
      <w:r w:rsidRPr="008929EB">
        <w:rPr>
          <w:rFonts w:ascii="Garamond" w:hAnsi="Garamond" w:cstheme="minorHAnsi"/>
        </w:rPr>
        <w:t>specialistica ambulatoriale per il tramite o di medici ospedalieri o di medici specialisti ambulatoriali;</w:t>
      </w:r>
    </w:p>
    <w:p w:rsidR="00C46967" w:rsidRPr="008929EB" w:rsidRDefault="00C46967" w:rsidP="00C46967">
      <w:pPr>
        <w:pStyle w:val="Paragrafoelenco"/>
        <w:numPr>
          <w:ilvl w:val="0"/>
          <w:numId w:val="36"/>
        </w:numPr>
        <w:suppressAutoHyphens w:val="0"/>
        <w:spacing w:line="360" w:lineRule="auto"/>
        <w:contextualSpacing/>
        <w:textAlignment w:val="auto"/>
        <w:rPr>
          <w:rFonts w:ascii="Garamond" w:hAnsi="Garamond" w:cstheme="minorHAnsi"/>
        </w:rPr>
      </w:pPr>
      <w:r w:rsidRPr="008929EB">
        <w:rPr>
          <w:rFonts w:ascii="Garamond" w:hAnsi="Garamond" w:cstheme="minorHAnsi"/>
        </w:rPr>
        <w:t>RSA sia a gestione diretta che in appalto;</w:t>
      </w:r>
    </w:p>
    <w:p w:rsidR="00C46967" w:rsidRPr="008929EB" w:rsidRDefault="00C46967" w:rsidP="00C46967">
      <w:pPr>
        <w:pStyle w:val="Paragrafoelenco"/>
        <w:numPr>
          <w:ilvl w:val="0"/>
          <w:numId w:val="36"/>
        </w:numPr>
        <w:suppressAutoHyphens w:val="0"/>
        <w:spacing w:line="360" w:lineRule="auto"/>
        <w:contextualSpacing/>
        <w:textAlignment w:val="auto"/>
        <w:rPr>
          <w:rFonts w:ascii="Garamond" w:hAnsi="Garamond" w:cstheme="minorHAnsi"/>
        </w:rPr>
      </w:pPr>
      <w:proofErr w:type="spellStart"/>
      <w:r w:rsidRPr="008929EB">
        <w:rPr>
          <w:rFonts w:ascii="Garamond" w:hAnsi="Garamond" w:cstheme="minorHAnsi"/>
        </w:rPr>
        <w:t>Consultoriale</w:t>
      </w:r>
      <w:proofErr w:type="spellEnd"/>
      <w:r w:rsidRPr="008929EB">
        <w:rPr>
          <w:rFonts w:ascii="Garamond" w:hAnsi="Garamond" w:cstheme="minorHAnsi"/>
        </w:rPr>
        <w:t>;</w:t>
      </w:r>
    </w:p>
    <w:p w:rsidR="00C46967" w:rsidRPr="008929EB" w:rsidRDefault="00C46967" w:rsidP="00C46967">
      <w:pPr>
        <w:pStyle w:val="Paragrafoelenco"/>
        <w:numPr>
          <w:ilvl w:val="0"/>
          <w:numId w:val="36"/>
        </w:numPr>
        <w:suppressAutoHyphens w:val="0"/>
        <w:spacing w:line="360" w:lineRule="auto"/>
        <w:contextualSpacing/>
        <w:textAlignment w:val="auto"/>
        <w:rPr>
          <w:rFonts w:ascii="Garamond" w:hAnsi="Garamond" w:cstheme="minorHAnsi"/>
        </w:rPr>
      </w:pPr>
      <w:r w:rsidRPr="008929EB">
        <w:rPr>
          <w:rFonts w:ascii="Garamond" w:hAnsi="Garamond" w:cstheme="minorHAnsi"/>
        </w:rPr>
        <w:t>di neuropsichiatria infantile;</w:t>
      </w:r>
    </w:p>
    <w:p w:rsidR="00C46967" w:rsidRPr="008929EB" w:rsidRDefault="00C46967" w:rsidP="00C46967">
      <w:pPr>
        <w:pStyle w:val="Paragrafoelenco"/>
        <w:numPr>
          <w:ilvl w:val="0"/>
          <w:numId w:val="36"/>
        </w:numPr>
        <w:suppressAutoHyphens w:val="0"/>
        <w:spacing w:line="360" w:lineRule="auto"/>
        <w:contextualSpacing/>
        <w:textAlignment w:val="auto"/>
        <w:rPr>
          <w:rFonts w:ascii="Garamond" w:hAnsi="Garamond" w:cstheme="minorHAnsi"/>
        </w:rPr>
      </w:pPr>
      <w:r w:rsidRPr="008929EB">
        <w:rPr>
          <w:rFonts w:ascii="Garamond" w:hAnsi="Garamond" w:cstheme="minorHAnsi"/>
        </w:rPr>
        <w:t>di assistenza psichiatrica;</w:t>
      </w:r>
    </w:p>
    <w:p w:rsidR="00C46967" w:rsidRPr="008929EB" w:rsidRDefault="00C46967" w:rsidP="00C46967">
      <w:pPr>
        <w:pStyle w:val="Paragrafoelenco"/>
        <w:numPr>
          <w:ilvl w:val="0"/>
          <w:numId w:val="36"/>
        </w:numPr>
        <w:suppressAutoHyphens w:val="0"/>
        <w:spacing w:line="360" w:lineRule="auto"/>
        <w:contextualSpacing/>
        <w:textAlignment w:val="auto"/>
        <w:rPr>
          <w:rFonts w:ascii="Garamond" w:hAnsi="Garamond" w:cstheme="minorHAnsi"/>
        </w:rPr>
      </w:pPr>
      <w:r w:rsidRPr="008929EB">
        <w:rPr>
          <w:rFonts w:ascii="Garamond" w:hAnsi="Garamond" w:cstheme="minorHAnsi"/>
        </w:rPr>
        <w:t>per tossicodipendenti;</w:t>
      </w:r>
    </w:p>
    <w:p w:rsidR="00C46967" w:rsidRPr="008929EB" w:rsidRDefault="00C46967" w:rsidP="00C46967">
      <w:pPr>
        <w:pStyle w:val="Paragrafoelenco"/>
        <w:numPr>
          <w:ilvl w:val="0"/>
          <w:numId w:val="36"/>
        </w:numPr>
        <w:suppressAutoHyphens w:val="0"/>
        <w:spacing w:line="360" w:lineRule="auto"/>
        <w:contextualSpacing/>
        <w:textAlignment w:val="auto"/>
        <w:rPr>
          <w:rFonts w:ascii="Garamond" w:hAnsi="Garamond" w:cstheme="minorHAnsi"/>
        </w:rPr>
      </w:pPr>
      <w:r w:rsidRPr="008929EB">
        <w:rPr>
          <w:rFonts w:ascii="Garamond" w:hAnsi="Garamond" w:cstheme="minorHAnsi"/>
        </w:rPr>
        <w:t>di assistenza ai malati terminali tramite l’Hospice di San Vito. E’ stata istituita la rete delle cure palliative che assicura l’attività su tutti i distretti.</w:t>
      </w:r>
    </w:p>
    <w:p w:rsidR="00C46967" w:rsidRPr="008929EB" w:rsidRDefault="00C46967" w:rsidP="00C46967">
      <w:pPr>
        <w:spacing w:line="360" w:lineRule="auto"/>
        <w:rPr>
          <w:rFonts w:ascii="Garamond" w:hAnsi="Garamond" w:cstheme="minorHAnsi"/>
          <w:sz w:val="24"/>
          <w:szCs w:val="24"/>
        </w:rPr>
      </w:pPr>
    </w:p>
    <w:p w:rsidR="00C46967" w:rsidRPr="008929EB" w:rsidRDefault="00C46967" w:rsidP="00C46967">
      <w:pPr>
        <w:spacing w:line="360" w:lineRule="auto"/>
        <w:rPr>
          <w:rFonts w:ascii="Garamond" w:hAnsi="Garamond" w:cstheme="minorHAnsi"/>
          <w:sz w:val="24"/>
          <w:szCs w:val="24"/>
        </w:rPr>
      </w:pPr>
      <w:r w:rsidRPr="008929EB">
        <w:rPr>
          <w:rFonts w:ascii="Garamond" w:hAnsi="Garamond" w:cstheme="minorHAnsi"/>
          <w:sz w:val="24"/>
          <w:szCs w:val="24"/>
        </w:rPr>
        <w:lastRenderedPageBreak/>
        <w:t xml:space="preserve">L’offerta sanitaria è assicurata </w:t>
      </w:r>
      <w:r w:rsidR="00421251">
        <w:rPr>
          <w:rFonts w:ascii="Garamond" w:hAnsi="Garamond" w:cstheme="minorHAnsi"/>
          <w:sz w:val="24"/>
          <w:szCs w:val="24"/>
        </w:rPr>
        <w:t>inoltre</w:t>
      </w:r>
      <w:r w:rsidRPr="008929EB">
        <w:rPr>
          <w:rFonts w:ascii="Garamond" w:hAnsi="Garamond" w:cstheme="minorHAnsi"/>
          <w:sz w:val="24"/>
          <w:szCs w:val="24"/>
        </w:rPr>
        <w:t xml:space="preserve"> tramite le seguenti strutture private convenzionate:</w:t>
      </w:r>
    </w:p>
    <w:p w:rsidR="00C46967" w:rsidRPr="008929EB" w:rsidRDefault="00C46967" w:rsidP="00C46967">
      <w:pPr>
        <w:pStyle w:val="Paragrafoelenco"/>
        <w:numPr>
          <w:ilvl w:val="0"/>
          <w:numId w:val="41"/>
        </w:numPr>
        <w:suppressAutoHyphens w:val="0"/>
        <w:spacing w:line="360" w:lineRule="auto"/>
        <w:contextualSpacing/>
        <w:textAlignment w:val="auto"/>
        <w:rPr>
          <w:rFonts w:ascii="Garamond" w:hAnsi="Garamond" w:cstheme="minorHAnsi"/>
        </w:rPr>
      </w:pPr>
      <w:r w:rsidRPr="008929EB">
        <w:rPr>
          <w:rFonts w:ascii="Garamond" w:hAnsi="Garamond" w:cstheme="minorHAnsi"/>
        </w:rPr>
        <w:t>Associazione Nostra Famiglia</w:t>
      </w:r>
    </w:p>
    <w:p w:rsidR="00C46967" w:rsidRPr="008929EB" w:rsidRDefault="00C46967" w:rsidP="00C46967">
      <w:pPr>
        <w:pStyle w:val="Paragrafoelenco"/>
        <w:numPr>
          <w:ilvl w:val="0"/>
          <w:numId w:val="41"/>
        </w:numPr>
        <w:suppressAutoHyphens w:val="0"/>
        <w:spacing w:line="360" w:lineRule="auto"/>
        <w:contextualSpacing/>
        <w:textAlignment w:val="auto"/>
        <w:rPr>
          <w:rFonts w:ascii="Garamond" w:hAnsi="Garamond" w:cstheme="minorHAnsi"/>
        </w:rPr>
      </w:pPr>
      <w:r w:rsidRPr="008929EB">
        <w:rPr>
          <w:rFonts w:ascii="Garamond" w:hAnsi="Garamond" w:cstheme="minorHAnsi"/>
        </w:rPr>
        <w:t>Casa di Cura San Giorgio</w:t>
      </w:r>
    </w:p>
    <w:p w:rsidR="00C46967" w:rsidRPr="008929EB" w:rsidRDefault="00C46967" w:rsidP="00C46967">
      <w:pPr>
        <w:pStyle w:val="Paragrafoelenco"/>
        <w:numPr>
          <w:ilvl w:val="0"/>
          <w:numId w:val="41"/>
        </w:numPr>
        <w:suppressAutoHyphens w:val="0"/>
        <w:spacing w:line="360" w:lineRule="auto"/>
        <w:contextualSpacing/>
        <w:textAlignment w:val="auto"/>
        <w:rPr>
          <w:rFonts w:ascii="Garamond" w:hAnsi="Garamond" w:cstheme="minorHAnsi"/>
        </w:rPr>
      </w:pPr>
      <w:r w:rsidRPr="008929EB">
        <w:rPr>
          <w:rFonts w:ascii="Garamond" w:hAnsi="Garamond" w:cstheme="minorHAnsi"/>
        </w:rPr>
        <w:t>Centro Medico Esperia</w:t>
      </w:r>
    </w:p>
    <w:p w:rsidR="00C46967" w:rsidRPr="008929EB" w:rsidRDefault="00C46967" w:rsidP="00C46967">
      <w:pPr>
        <w:pStyle w:val="Paragrafoelenco"/>
        <w:numPr>
          <w:ilvl w:val="0"/>
          <w:numId w:val="41"/>
        </w:numPr>
        <w:suppressAutoHyphens w:val="0"/>
        <w:spacing w:line="360" w:lineRule="auto"/>
        <w:contextualSpacing/>
        <w:textAlignment w:val="auto"/>
        <w:rPr>
          <w:rFonts w:ascii="Garamond" w:hAnsi="Garamond" w:cstheme="minorHAnsi"/>
        </w:rPr>
      </w:pPr>
      <w:r w:rsidRPr="008929EB">
        <w:rPr>
          <w:rFonts w:ascii="Garamond" w:hAnsi="Garamond" w:cstheme="minorHAnsi"/>
        </w:rPr>
        <w:t xml:space="preserve">Diagnostica 53 </w:t>
      </w:r>
    </w:p>
    <w:p w:rsidR="00C46967" w:rsidRPr="008929EB" w:rsidRDefault="00C46967" w:rsidP="00C46967">
      <w:pPr>
        <w:pStyle w:val="Paragrafoelenco"/>
        <w:numPr>
          <w:ilvl w:val="0"/>
          <w:numId w:val="41"/>
        </w:numPr>
        <w:suppressAutoHyphens w:val="0"/>
        <w:spacing w:line="360" w:lineRule="auto"/>
        <w:contextualSpacing/>
        <w:textAlignment w:val="auto"/>
        <w:rPr>
          <w:rFonts w:ascii="Garamond" w:hAnsi="Garamond" w:cstheme="minorHAnsi"/>
        </w:rPr>
      </w:pPr>
      <w:proofErr w:type="spellStart"/>
      <w:r w:rsidRPr="008929EB">
        <w:rPr>
          <w:rFonts w:ascii="Garamond" w:hAnsi="Garamond" w:cstheme="minorHAnsi"/>
        </w:rPr>
        <w:t>Sanisystem</w:t>
      </w:r>
      <w:proofErr w:type="spellEnd"/>
    </w:p>
    <w:p w:rsidR="00C46967" w:rsidRPr="008929EB" w:rsidRDefault="00C46967" w:rsidP="00C46967">
      <w:pPr>
        <w:pStyle w:val="Paragrafoelenco"/>
        <w:numPr>
          <w:ilvl w:val="0"/>
          <w:numId w:val="41"/>
        </w:numPr>
        <w:suppressAutoHyphens w:val="0"/>
        <w:spacing w:line="360" w:lineRule="auto"/>
        <w:contextualSpacing/>
        <w:textAlignment w:val="auto"/>
        <w:rPr>
          <w:rFonts w:ascii="Garamond" w:hAnsi="Garamond" w:cstheme="minorHAnsi"/>
        </w:rPr>
      </w:pPr>
      <w:r w:rsidRPr="008929EB">
        <w:rPr>
          <w:rFonts w:ascii="Garamond" w:hAnsi="Garamond" w:cstheme="minorHAnsi"/>
        </w:rPr>
        <w:t>Consultorio Familiare “</w:t>
      </w:r>
      <w:proofErr w:type="spellStart"/>
      <w:r w:rsidRPr="008929EB">
        <w:rPr>
          <w:rFonts w:ascii="Garamond" w:hAnsi="Garamond" w:cstheme="minorHAnsi"/>
        </w:rPr>
        <w:t>Noncello</w:t>
      </w:r>
      <w:proofErr w:type="spellEnd"/>
      <w:r w:rsidRPr="008929EB">
        <w:rPr>
          <w:rFonts w:ascii="Garamond" w:hAnsi="Garamond" w:cstheme="minorHAnsi"/>
        </w:rPr>
        <w:t>”</w:t>
      </w:r>
    </w:p>
    <w:p w:rsidR="00C46967" w:rsidRPr="008929EB" w:rsidRDefault="00C46967" w:rsidP="00C46967">
      <w:pPr>
        <w:pStyle w:val="Paragrafoelenco"/>
        <w:numPr>
          <w:ilvl w:val="0"/>
          <w:numId w:val="41"/>
        </w:numPr>
        <w:suppressAutoHyphens w:val="0"/>
        <w:spacing w:line="360" w:lineRule="auto"/>
        <w:contextualSpacing/>
        <w:textAlignment w:val="auto"/>
        <w:rPr>
          <w:rFonts w:ascii="Garamond" w:hAnsi="Garamond" w:cstheme="minorHAnsi"/>
        </w:rPr>
      </w:pPr>
      <w:r w:rsidRPr="008929EB">
        <w:rPr>
          <w:rFonts w:ascii="Garamond" w:hAnsi="Garamond" w:cstheme="minorHAnsi"/>
        </w:rPr>
        <w:t>Consultorio Familiare “AIED”</w:t>
      </w:r>
    </w:p>
    <w:p w:rsidR="00C46967" w:rsidRPr="008929EB" w:rsidRDefault="00C46967" w:rsidP="00C46967">
      <w:pPr>
        <w:pStyle w:val="Paragrafoelenco"/>
        <w:numPr>
          <w:ilvl w:val="0"/>
          <w:numId w:val="41"/>
        </w:numPr>
        <w:suppressAutoHyphens w:val="0"/>
        <w:spacing w:line="360" w:lineRule="auto"/>
        <w:contextualSpacing/>
        <w:textAlignment w:val="auto"/>
        <w:rPr>
          <w:rFonts w:ascii="Garamond" w:hAnsi="Garamond" w:cstheme="minorHAnsi"/>
        </w:rPr>
      </w:pPr>
      <w:r w:rsidRPr="008929EB">
        <w:rPr>
          <w:rFonts w:ascii="Garamond" w:hAnsi="Garamond" w:cstheme="minorHAnsi"/>
        </w:rPr>
        <w:t>Case di Riposo</w:t>
      </w:r>
    </w:p>
    <w:p w:rsidR="00C46967" w:rsidRPr="008929EB" w:rsidRDefault="00C46967" w:rsidP="00C46967">
      <w:pPr>
        <w:pStyle w:val="Paragrafoelenco"/>
        <w:numPr>
          <w:ilvl w:val="0"/>
          <w:numId w:val="41"/>
        </w:numPr>
        <w:suppressAutoHyphens w:val="0"/>
        <w:spacing w:line="360" w:lineRule="auto"/>
        <w:contextualSpacing/>
        <w:textAlignment w:val="auto"/>
        <w:rPr>
          <w:rFonts w:ascii="Garamond" w:hAnsi="Garamond" w:cstheme="minorHAnsi"/>
        </w:rPr>
      </w:pPr>
      <w:r w:rsidRPr="008929EB">
        <w:rPr>
          <w:rFonts w:ascii="Garamond" w:hAnsi="Garamond" w:cstheme="minorHAnsi"/>
        </w:rPr>
        <w:t>Centri Diurni per l’handicap</w:t>
      </w:r>
    </w:p>
    <w:p w:rsidR="00C46967" w:rsidRPr="008929EB" w:rsidRDefault="00C46967" w:rsidP="00C46967">
      <w:pPr>
        <w:pStyle w:val="Paragrafoelenco"/>
        <w:numPr>
          <w:ilvl w:val="0"/>
          <w:numId w:val="41"/>
        </w:numPr>
        <w:suppressAutoHyphens w:val="0"/>
        <w:spacing w:line="360" w:lineRule="auto"/>
        <w:contextualSpacing/>
        <w:textAlignment w:val="auto"/>
        <w:rPr>
          <w:rFonts w:ascii="Garamond" w:hAnsi="Garamond" w:cstheme="minorHAnsi"/>
        </w:rPr>
      </w:pPr>
      <w:r w:rsidRPr="008929EB">
        <w:rPr>
          <w:rFonts w:ascii="Garamond" w:hAnsi="Garamond" w:cstheme="minorHAnsi"/>
        </w:rPr>
        <w:t>Strutture residenziali (</w:t>
      </w:r>
      <w:proofErr w:type="spellStart"/>
      <w:r w:rsidRPr="008929EB">
        <w:rPr>
          <w:rFonts w:ascii="Garamond" w:hAnsi="Garamond" w:cstheme="minorHAnsi"/>
        </w:rPr>
        <w:t>Ricchieri</w:t>
      </w:r>
      <w:proofErr w:type="spellEnd"/>
      <w:r w:rsidRPr="008929EB">
        <w:rPr>
          <w:rFonts w:ascii="Garamond" w:hAnsi="Garamond" w:cstheme="minorHAnsi"/>
        </w:rPr>
        <w:t>, la Selina)</w:t>
      </w:r>
    </w:p>
    <w:p w:rsidR="00C46967" w:rsidRPr="008929EB" w:rsidRDefault="00C46967" w:rsidP="00C46967">
      <w:pPr>
        <w:pStyle w:val="Paragrafoelenco"/>
        <w:numPr>
          <w:ilvl w:val="0"/>
          <w:numId w:val="41"/>
        </w:numPr>
        <w:suppressAutoHyphens w:val="0"/>
        <w:spacing w:line="360" w:lineRule="auto"/>
        <w:contextualSpacing/>
        <w:textAlignment w:val="auto"/>
        <w:rPr>
          <w:rFonts w:ascii="Garamond" w:hAnsi="Garamond" w:cstheme="minorHAnsi"/>
        </w:rPr>
      </w:pPr>
      <w:r w:rsidRPr="008929EB">
        <w:rPr>
          <w:rFonts w:ascii="Garamond" w:hAnsi="Garamond" w:cstheme="minorHAnsi"/>
        </w:rPr>
        <w:t>Hospice Via di Natale (in fase di accreditamento)</w:t>
      </w:r>
    </w:p>
    <w:p w:rsidR="00C46967" w:rsidRPr="008929EB" w:rsidRDefault="00C46967" w:rsidP="00C46967">
      <w:pPr>
        <w:pStyle w:val="Paragrafoelenco"/>
        <w:numPr>
          <w:ilvl w:val="0"/>
          <w:numId w:val="41"/>
        </w:numPr>
        <w:suppressAutoHyphens w:val="0"/>
        <w:spacing w:line="360" w:lineRule="auto"/>
        <w:contextualSpacing/>
        <w:textAlignment w:val="auto"/>
        <w:rPr>
          <w:rFonts w:ascii="Garamond" w:hAnsi="Garamond" w:cstheme="minorHAnsi"/>
        </w:rPr>
      </w:pPr>
      <w:proofErr w:type="spellStart"/>
      <w:r w:rsidRPr="008929EB">
        <w:rPr>
          <w:rFonts w:ascii="Garamond" w:hAnsi="Garamond" w:cstheme="minorHAnsi"/>
        </w:rPr>
        <w:t>Anfass</w:t>
      </w:r>
      <w:proofErr w:type="spellEnd"/>
    </w:p>
    <w:tbl>
      <w:tblPr>
        <w:tblW w:w="106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4"/>
        <w:gridCol w:w="666"/>
        <w:gridCol w:w="666"/>
        <w:gridCol w:w="666"/>
        <w:gridCol w:w="666"/>
        <w:gridCol w:w="666"/>
        <w:gridCol w:w="666"/>
        <w:gridCol w:w="666"/>
        <w:gridCol w:w="666"/>
        <w:gridCol w:w="666"/>
        <w:gridCol w:w="663"/>
      </w:tblGrid>
      <w:tr w:rsidR="00421251" w:rsidRPr="008929EB" w:rsidTr="00421251">
        <w:trPr>
          <w:trHeight w:val="2715"/>
        </w:trPr>
        <w:tc>
          <w:tcPr>
            <w:tcW w:w="3984" w:type="dxa"/>
            <w:shd w:val="clear" w:color="auto" w:fill="auto"/>
            <w:noWrap/>
            <w:vAlign w:val="bottom"/>
            <w:hideMark/>
          </w:tcPr>
          <w:p w:rsidR="00421251" w:rsidRPr="008929EB" w:rsidRDefault="00421251" w:rsidP="006E2FD9">
            <w:pPr>
              <w:rPr>
                <w:rFonts w:ascii="Garamond" w:hAnsi="Garamond" w:cs="Calibri"/>
                <w:b/>
                <w:bCs/>
                <w:color w:val="000000"/>
                <w:sz w:val="24"/>
                <w:szCs w:val="24"/>
              </w:rPr>
            </w:pPr>
            <w:r w:rsidRPr="008929EB">
              <w:rPr>
                <w:rFonts w:ascii="Garamond" w:hAnsi="Garamond" w:cs="Calibri"/>
                <w:b/>
                <w:bCs/>
                <w:color w:val="000000"/>
                <w:sz w:val="24"/>
                <w:szCs w:val="24"/>
              </w:rPr>
              <w:t> Strutture convenzionate</w:t>
            </w:r>
          </w:p>
        </w:tc>
        <w:tc>
          <w:tcPr>
            <w:tcW w:w="666" w:type="dxa"/>
            <w:shd w:val="clear" w:color="auto" w:fill="auto"/>
            <w:textDirection w:val="btLr"/>
            <w:vAlign w:val="center"/>
            <w:hideMark/>
          </w:tcPr>
          <w:p w:rsidR="00421251" w:rsidRPr="00421251" w:rsidRDefault="00421251" w:rsidP="00421251">
            <w:pPr>
              <w:rPr>
                <w:rFonts w:cs="Calibri"/>
                <w:b/>
                <w:bCs/>
                <w:color w:val="000000"/>
                <w:sz w:val="16"/>
                <w:szCs w:val="16"/>
              </w:rPr>
            </w:pPr>
            <w:r w:rsidRPr="00421251">
              <w:rPr>
                <w:rFonts w:cs="Calibri"/>
                <w:b/>
                <w:bCs/>
                <w:color w:val="000000"/>
                <w:sz w:val="16"/>
                <w:szCs w:val="16"/>
              </w:rPr>
              <w:t>ATTIVITA` CLINICA</w:t>
            </w:r>
          </w:p>
        </w:tc>
        <w:tc>
          <w:tcPr>
            <w:tcW w:w="666" w:type="dxa"/>
            <w:shd w:val="clear" w:color="auto" w:fill="auto"/>
            <w:textDirection w:val="btLr"/>
            <w:vAlign w:val="center"/>
            <w:hideMark/>
          </w:tcPr>
          <w:p w:rsidR="00421251" w:rsidRPr="00421251" w:rsidRDefault="00421251" w:rsidP="00421251">
            <w:pPr>
              <w:rPr>
                <w:rFonts w:cs="Calibri"/>
                <w:b/>
                <w:bCs/>
                <w:color w:val="000000"/>
                <w:sz w:val="16"/>
                <w:szCs w:val="16"/>
              </w:rPr>
            </w:pPr>
            <w:r w:rsidRPr="00421251">
              <w:rPr>
                <w:rFonts w:cs="Calibri"/>
                <w:b/>
                <w:bCs/>
                <w:color w:val="000000"/>
                <w:sz w:val="16"/>
                <w:szCs w:val="16"/>
              </w:rPr>
              <w:t>DIAGNOSTICA STRUMENTALE E PER IMMAGINI</w:t>
            </w:r>
          </w:p>
        </w:tc>
        <w:tc>
          <w:tcPr>
            <w:tcW w:w="666" w:type="dxa"/>
            <w:shd w:val="clear" w:color="auto" w:fill="auto"/>
            <w:textDirection w:val="btLr"/>
            <w:vAlign w:val="center"/>
            <w:hideMark/>
          </w:tcPr>
          <w:p w:rsidR="00421251" w:rsidRPr="00421251" w:rsidRDefault="00421251" w:rsidP="00421251">
            <w:pPr>
              <w:rPr>
                <w:rFonts w:cs="Calibri"/>
                <w:b/>
                <w:bCs/>
                <w:color w:val="000000"/>
                <w:sz w:val="16"/>
                <w:szCs w:val="16"/>
              </w:rPr>
            </w:pPr>
            <w:r w:rsidRPr="00421251">
              <w:rPr>
                <w:rFonts w:cs="Calibri"/>
                <w:b/>
                <w:bCs/>
                <w:color w:val="000000"/>
                <w:sz w:val="16"/>
                <w:szCs w:val="16"/>
              </w:rPr>
              <w:t xml:space="preserve">ATTIVITA` </w:t>
            </w:r>
            <w:proofErr w:type="spellStart"/>
            <w:r w:rsidRPr="00421251">
              <w:rPr>
                <w:rFonts w:cs="Calibri"/>
                <w:b/>
                <w:bCs/>
                <w:color w:val="000000"/>
                <w:sz w:val="16"/>
                <w:szCs w:val="16"/>
              </w:rPr>
              <w:t>DI</w:t>
            </w:r>
            <w:proofErr w:type="spellEnd"/>
            <w:r w:rsidRPr="00421251">
              <w:rPr>
                <w:rFonts w:cs="Calibri"/>
                <w:b/>
                <w:bCs/>
                <w:color w:val="000000"/>
                <w:sz w:val="16"/>
                <w:szCs w:val="16"/>
              </w:rPr>
              <w:t xml:space="preserve"> LABORATORIO</w:t>
            </w:r>
          </w:p>
        </w:tc>
        <w:tc>
          <w:tcPr>
            <w:tcW w:w="666" w:type="dxa"/>
            <w:shd w:val="clear" w:color="auto" w:fill="auto"/>
            <w:textDirection w:val="btLr"/>
            <w:vAlign w:val="center"/>
            <w:hideMark/>
          </w:tcPr>
          <w:p w:rsidR="00421251" w:rsidRPr="00421251" w:rsidRDefault="00421251" w:rsidP="00421251">
            <w:pPr>
              <w:rPr>
                <w:rFonts w:cs="Calibri"/>
                <w:b/>
                <w:bCs/>
                <w:color w:val="000000"/>
                <w:sz w:val="16"/>
                <w:szCs w:val="16"/>
              </w:rPr>
            </w:pPr>
            <w:r w:rsidRPr="00421251">
              <w:rPr>
                <w:rFonts w:cs="Calibri"/>
                <w:b/>
                <w:bCs/>
                <w:color w:val="000000"/>
                <w:sz w:val="16"/>
                <w:szCs w:val="16"/>
              </w:rPr>
              <w:t xml:space="preserve">ATTIVITA` </w:t>
            </w:r>
            <w:proofErr w:type="spellStart"/>
            <w:r w:rsidRPr="00421251">
              <w:rPr>
                <w:rFonts w:cs="Calibri"/>
                <w:b/>
                <w:bCs/>
                <w:color w:val="000000"/>
                <w:sz w:val="16"/>
                <w:szCs w:val="16"/>
              </w:rPr>
              <w:t>DI</w:t>
            </w:r>
            <w:proofErr w:type="spellEnd"/>
            <w:r w:rsidRPr="00421251">
              <w:rPr>
                <w:rFonts w:cs="Calibri"/>
                <w:b/>
                <w:bCs/>
                <w:color w:val="000000"/>
                <w:sz w:val="16"/>
                <w:szCs w:val="16"/>
              </w:rPr>
              <w:t xml:space="preserve"> CONSULTORIO MATERNO-INFANTILE</w:t>
            </w:r>
          </w:p>
        </w:tc>
        <w:tc>
          <w:tcPr>
            <w:tcW w:w="666" w:type="dxa"/>
            <w:shd w:val="clear" w:color="auto" w:fill="auto"/>
            <w:textDirection w:val="btLr"/>
            <w:vAlign w:val="center"/>
            <w:hideMark/>
          </w:tcPr>
          <w:p w:rsidR="00421251" w:rsidRPr="00421251" w:rsidRDefault="00421251" w:rsidP="00421251">
            <w:pPr>
              <w:rPr>
                <w:rFonts w:cs="Calibri"/>
                <w:b/>
                <w:bCs/>
                <w:color w:val="000000"/>
                <w:sz w:val="16"/>
                <w:szCs w:val="16"/>
              </w:rPr>
            </w:pPr>
            <w:r w:rsidRPr="00421251">
              <w:rPr>
                <w:rFonts w:cs="Calibri"/>
                <w:b/>
                <w:bCs/>
                <w:color w:val="000000"/>
                <w:sz w:val="16"/>
                <w:szCs w:val="16"/>
              </w:rPr>
              <w:t>ASSISTENZA PSICHIATRICA</w:t>
            </w:r>
          </w:p>
        </w:tc>
        <w:tc>
          <w:tcPr>
            <w:tcW w:w="666" w:type="dxa"/>
            <w:shd w:val="clear" w:color="auto" w:fill="auto"/>
            <w:textDirection w:val="btLr"/>
            <w:vAlign w:val="center"/>
            <w:hideMark/>
          </w:tcPr>
          <w:p w:rsidR="00421251" w:rsidRPr="00421251" w:rsidRDefault="00421251" w:rsidP="00421251">
            <w:pPr>
              <w:rPr>
                <w:rFonts w:cs="Calibri"/>
                <w:b/>
                <w:bCs/>
                <w:color w:val="000000"/>
                <w:sz w:val="16"/>
                <w:szCs w:val="16"/>
              </w:rPr>
            </w:pPr>
            <w:r w:rsidRPr="00421251">
              <w:rPr>
                <w:rFonts w:cs="Calibri"/>
                <w:b/>
                <w:bCs/>
                <w:color w:val="000000"/>
                <w:sz w:val="16"/>
                <w:szCs w:val="16"/>
              </w:rPr>
              <w:t>ASSISTENZA AGLI ANZIANI</w:t>
            </w:r>
          </w:p>
        </w:tc>
        <w:tc>
          <w:tcPr>
            <w:tcW w:w="666" w:type="dxa"/>
            <w:shd w:val="clear" w:color="auto" w:fill="auto"/>
            <w:textDirection w:val="btLr"/>
            <w:vAlign w:val="center"/>
            <w:hideMark/>
          </w:tcPr>
          <w:p w:rsidR="00421251" w:rsidRPr="00421251" w:rsidRDefault="00421251" w:rsidP="00421251">
            <w:pPr>
              <w:rPr>
                <w:rFonts w:cs="Calibri"/>
                <w:b/>
                <w:bCs/>
                <w:color w:val="000000"/>
                <w:sz w:val="16"/>
                <w:szCs w:val="16"/>
              </w:rPr>
            </w:pPr>
            <w:r w:rsidRPr="00421251">
              <w:rPr>
                <w:rFonts w:cs="Calibri"/>
                <w:b/>
                <w:bCs/>
                <w:color w:val="000000"/>
                <w:sz w:val="16"/>
                <w:szCs w:val="16"/>
              </w:rPr>
              <w:t>ASSISTENZA AI DISABILI FISICI</w:t>
            </w:r>
          </w:p>
        </w:tc>
        <w:tc>
          <w:tcPr>
            <w:tcW w:w="666" w:type="dxa"/>
            <w:shd w:val="clear" w:color="auto" w:fill="auto"/>
            <w:textDirection w:val="btLr"/>
            <w:vAlign w:val="center"/>
            <w:hideMark/>
          </w:tcPr>
          <w:p w:rsidR="00421251" w:rsidRPr="00421251" w:rsidRDefault="00421251" w:rsidP="00421251">
            <w:pPr>
              <w:rPr>
                <w:rFonts w:cs="Calibri"/>
                <w:b/>
                <w:bCs/>
                <w:color w:val="000000"/>
                <w:sz w:val="16"/>
                <w:szCs w:val="16"/>
              </w:rPr>
            </w:pPr>
            <w:r w:rsidRPr="00421251">
              <w:rPr>
                <w:rFonts w:cs="Calibri"/>
                <w:b/>
                <w:bCs/>
                <w:color w:val="000000"/>
                <w:sz w:val="16"/>
                <w:szCs w:val="16"/>
              </w:rPr>
              <w:t>ASSISTENZA AI DISABILI PSICHICI</w:t>
            </w:r>
          </w:p>
        </w:tc>
        <w:tc>
          <w:tcPr>
            <w:tcW w:w="666" w:type="dxa"/>
            <w:shd w:val="clear" w:color="auto" w:fill="auto"/>
            <w:textDirection w:val="btLr"/>
            <w:vAlign w:val="center"/>
            <w:hideMark/>
          </w:tcPr>
          <w:p w:rsidR="00421251" w:rsidRPr="00421251" w:rsidRDefault="00421251" w:rsidP="00421251">
            <w:pPr>
              <w:rPr>
                <w:rFonts w:cs="Calibri"/>
                <w:b/>
                <w:bCs/>
                <w:color w:val="000000"/>
                <w:sz w:val="16"/>
                <w:szCs w:val="16"/>
              </w:rPr>
            </w:pPr>
            <w:r w:rsidRPr="00421251">
              <w:rPr>
                <w:rFonts w:cs="Calibri"/>
                <w:b/>
                <w:bCs/>
                <w:color w:val="000000"/>
                <w:sz w:val="16"/>
                <w:szCs w:val="16"/>
              </w:rPr>
              <w:t>ASSISTENZA AI MALATI TERMINALI</w:t>
            </w:r>
          </w:p>
        </w:tc>
        <w:tc>
          <w:tcPr>
            <w:tcW w:w="663" w:type="dxa"/>
            <w:shd w:val="clear" w:color="auto" w:fill="auto"/>
            <w:noWrap/>
            <w:textDirection w:val="btLr"/>
            <w:vAlign w:val="center"/>
            <w:hideMark/>
          </w:tcPr>
          <w:p w:rsidR="00421251" w:rsidRPr="00421251" w:rsidRDefault="00421251" w:rsidP="00421251">
            <w:pPr>
              <w:rPr>
                <w:rFonts w:cs="Calibri"/>
                <w:b/>
                <w:bCs/>
                <w:color w:val="000000"/>
                <w:sz w:val="16"/>
                <w:szCs w:val="16"/>
              </w:rPr>
            </w:pPr>
            <w:r w:rsidRPr="00421251">
              <w:rPr>
                <w:rFonts w:cs="Calibri"/>
                <w:b/>
                <w:bCs/>
                <w:color w:val="000000"/>
                <w:sz w:val="16"/>
                <w:szCs w:val="16"/>
              </w:rPr>
              <w:t>Totale complessivo</w:t>
            </w:r>
          </w:p>
        </w:tc>
      </w:tr>
      <w:tr w:rsidR="00C46967" w:rsidRPr="008929EB" w:rsidTr="00421251">
        <w:trPr>
          <w:trHeight w:val="616"/>
        </w:trPr>
        <w:tc>
          <w:tcPr>
            <w:tcW w:w="3984"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xml:space="preserve">ALTRO TIPO </w:t>
            </w:r>
            <w:proofErr w:type="spellStart"/>
            <w:r w:rsidRPr="00953C92">
              <w:rPr>
                <w:rFonts w:asciiTheme="minorHAnsi" w:hAnsiTheme="minorHAnsi" w:cstheme="minorHAnsi"/>
                <w:color w:val="000000"/>
              </w:rPr>
              <w:t>DI</w:t>
            </w:r>
            <w:proofErr w:type="spellEnd"/>
            <w:r w:rsidRPr="00953C92">
              <w:rPr>
                <w:rFonts w:asciiTheme="minorHAnsi" w:hAnsiTheme="minorHAnsi" w:cstheme="minorHAnsi"/>
                <w:color w:val="000000"/>
              </w:rPr>
              <w:t xml:space="preserve"> STRUTTURA TERRITORIALE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color w:val="000000"/>
              </w:rPr>
            </w:pPr>
            <w:r w:rsidRPr="00953C92">
              <w:rPr>
                <w:rFonts w:asciiTheme="minorHAnsi" w:hAnsiTheme="minorHAnsi" w:cstheme="minorHAnsi"/>
                <w:color w:val="000000"/>
              </w:rPr>
              <w:t>2</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3" w:type="dxa"/>
            <w:shd w:val="clear" w:color="auto" w:fill="auto"/>
            <w:noWrap/>
            <w:vAlign w:val="bottom"/>
            <w:hideMark/>
          </w:tcPr>
          <w:p w:rsidR="00C46967" w:rsidRPr="00953C92" w:rsidRDefault="00C46967" w:rsidP="006E2FD9">
            <w:pPr>
              <w:jc w:val="right"/>
              <w:rPr>
                <w:rFonts w:asciiTheme="minorHAnsi" w:hAnsiTheme="minorHAnsi" w:cstheme="minorHAnsi"/>
                <w:color w:val="000000"/>
              </w:rPr>
            </w:pPr>
            <w:r w:rsidRPr="00953C92">
              <w:rPr>
                <w:rFonts w:asciiTheme="minorHAnsi" w:hAnsiTheme="minorHAnsi" w:cstheme="minorHAnsi"/>
                <w:color w:val="000000"/>
              </w:rPr>
              <w:t>2</w:t>
            </w:r>
          </w:p>
        </w:tc>
      </w:tr>
      <w:tr w:rsidR="00C46967" w:rsidRPr="008929EB" w:rsidTr="00421251">
        <w:trPr>
          <w:trHeight w:val="300"/>
        </w:trPr>
        <w:tc>
          <w:tcPr>
            <w:tcW w:w="3984"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xml:space="preserve">AMBULATORIO E LABORATORIO                         </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color w:val="000000"/>
              </w:rPr>
            </w:pPr>
            <w:r w:rsidRPr="00953C92">
              <w:rPr>
                <w:rFonts w:asciiTheme="minorHAnsi" w:hAnsiTheme="minorHAnsi" w:cstheme="minorHAnsi"/>
                <w:color w:val="000000"/>
              </w:rPr>
              <w:t>2</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color w:val="000000"/>
              </w:rPr>
            </w:pPr>
            <w:r w:rsidRPr="00953C92">
              <w:rPr>
                <w:rFonts w:asciiTheme="minorHAnsi" w:hAnsiTheme="minorHAnsi" w:cstheme="minorHAnsi"/>
                <w:color w:val="000000"/>
              </w:rPr>
              <w:t>4</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color w:val="000000"/>
              </w:rPr>
            </w:pPr>
            <w:r w:rsidRPr="00953C92">
              <w:rPr>
                <w:rFonts w:asciiTheme="minorHAnsi" w:hAnsiTheme="minorHAnsi" w:cstheme="minorHAnsi"/>
                <w:color w:val="000000"/>
              </w:rPr>
              <w:t>1</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3" w:type="dxa"/>
            <w:shd w:val="clear" w:color="auto" w:fill="auto"/>
            <w:noWrap/>
            <w:vAlign w:val="bottom"/>
            <w:hideMark/>
          </w:tcPr>
          <w:p w:rsidR="00C46967" w:rsidRPr="00953C92" w:rsidRDefault="00C46967" w:rsidP="006E2FD9">
            <w:pPr>
              <w:jc w:val="right"/>
              <w:rPr>
                <w:rFonts w:asciiTheme="minorHAnsi" w:hAnsiTheme="minorHAnsi" w:cstheme="minorHAnsi"/>
                <w:color w:val="000000"/>
              </w:rPr>
            </w:pPr>
            <w:r w:rsidRPr="00953C92">
              <w:rPr>
                <w:rFonts w:asciiTheme="minorHAnsi" w:hAnsiTheme="minorHAnsi" w:cstheme="minorHAnsi"/>
                <w:color w:val="000000"/>
              </w:rPr>
              <w:t>5</w:t>
            </w:r>
          </w:p>
        </w:tc>
      </w:tr>
      <w:tr w:rsidR="00C46967" w:rsidRPr="008929EB" w:rsidTr="00421251">
        <w:trPr>
          <w:trHeight w:val="300"/>
        </w:trPr>
        <w:tc>
          <w:tcPr>
            <w:tcW w:w="3984"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xml:space="preserve">STRUTTURA RESIDENZIALE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color w:val="000000"/>
              </w:rPr>
            </w:pPr>
            <w:r w:rsidRPr="00953C92">
              <w:rPr>
                <w:rFonts w:asciiTheme="minorHAnsi" w:hAnsiTheme="minorHAnsi" w:cstheme="minorHAnsi"/>
                <w:color w:val="000000"/>
              </w:rPr>
              <w:t>2</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color w:val="000000"/>
              </w:rPr>
            </w:pPr>
            <w:r w:rsidRPr="00953C92">
              <w:rPr>
                <w:rFonts w:asciiTheme="minorHAnsi" w:hAnsiTheme="minorHAnsi" w:cstheme="minorHAnsi"/>
                <w:color w:val="000000"/>
              </w:rPr>
              <w:t>18</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color w:val="000000"/>
              </w:rPr>
            </w:pPr>
            <w:r w:rsidRPr="00953C92">
              <w:rPr>
                <w:rFonts w:asciiTheme="minorHAnsi" w:hAnsiTheme="minorHAnsi" w:cstheme="minorHAnsi"/>
                <w:color w:val="000000"/>
              </w:rPr>
              <w:t>1</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color w:val="000000"/>
              </w:rPr>
            </w:pPr>
            <w:r w:rsidRPr="00953C92">
              <w:rPr>
                <w:rFonts w:asciiTheme="minorHAnsi" w:hAnsiTheme="minorHAnsi" w:cstheme="minorHAnsi"/>
                <w:color w:val="000000"/>
              </w:rPr>
              <w:t>1</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color w:val="000000"/>
              </w:rPr>
            </w:pPr>
            <w:r w:rsidRPr="00953C92">
              <w:rPr>
                <w:rFonts w:asciiTheme="minorHAnsi" w:hAnsiTheme="minorHAnsi" w:cstheme="minorHAnsi"/>
                <w:color w:val="000000"/>
              </w:rPr>
              <w:t>1</w:t>
            </w:r>
          </w:p>
        </w:tc>
        <w:tc>
          <w:tcPr>
            <w:tcW w:w="663" w:type="dxa"/>
            <w:shd w:val="clear" w:color="auto" w:fill="auto"/>
            <w:noWrap/>
            <w:vAlign w:val="bottom"/>
            <w:hideMark/>
          </w:tcPr>
          <w:p w:rsidR="00C46967" w:rsidRPr="00953C92" w:rsidRDefault="00C46967" w:rsidP="006E2FD9">
            <w:pPr>
              <w:jc w:val="right"/>
              <w:rPr>
                <w:rFonts w:asciiTheme="minorHAnsi" w:hAnsiTheme="minorHAnsi" w:cstheme="minorHAnsi"/>
                <w:color w:val="000000"/>
              </w:rPr>
            </w:pPr>
            <w:r w:rsidRPr="00953C92">
              <w:rPr>
                <w:rFonts w:asciiTheme="minorHAnsi" w:hAnsiTheme="minorHAnsi" w:cstheme="minorHAnsi"/>
                <w:color w:val="000000"/>
              </w:rPr>
              <w:t>22</w:t>
            </w:r>
          </w:p>
        </w:tc>
      </w:tr>
      <w:tr w:rsidR="00C46967" w:rsidRPr="008929EB" w:rsidTr="00421251">
        <w:trPr>
          <w:trHeight w:val="300"/>
        </w:trPr>
        <w:tc>
          <w:tcPr>
            <w:tcW w:w="3984"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xml:space="preserve">STRUTTURA SEMIRESIDENZIALE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color w:val="000000"/>
              </w:rPr>
            </w:pPr>
            <w:r w:rsidRPr="00953C92">
              <w:rPr>
                <w:rFonts w:asciiTheme="minorHAnsi" w:hAnsiTheme="minorHAnsi" w:cstheme="minorHAnsi"/>
                <w:color w:val="000000"/>
              </w:rPr>
              <w:t>10</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color w:val="000000"/>
              </w:rPr>
            </w:pPr>
            <w:r w:rsidRPr="00953C92">
              <w:rPr>
                <w:rFonts w:asciiTheme="minorHAnsi" w:hAnsiTheme="minorHAnsi" w:cstheme="minorHAnsi"/>
                <w:color w:val="000000"/>
              </w:rPr>
              <w:t>1</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color w:val="000000"/>
              </w:rPr>
            </w:pPr>
            <w:r w:rsidRPr="00953C92">
              <w:rPr>
                <w:rFonts w:asciiTheme="minorHAnsi" w:hAnsiTheme="minorHAnsi" w:cstheme="minorHAnsi"/>
                <w:color w:val="000000"/>
              </w:rPr>
              <w:t>1</w:t>
            </w:r>
          </w:p>
        </w:tc>
        <w:tc>
          <w:tcPr>
            <w:tcW w:w="666" w:type="dxa"/>
            <w:shd w:val="clear" w:color="auto" w:fill="auto"/>
            <w:noWrap/>
            <w:vAlign w:val="bottom"/>
            <w:hideMark/>
          </w:tcPr>
          <w:p w:rsidR="00C46967" w:rsidRPr="00953C92" w:rsidRDefault="00C46967" w:rsidP="006E2FD9">
            <w:pPr>
              <w:rPr>
                <w:rFonts w:asciiTheme="minorHAnsi" w:hAnsiTheme="minorHAnsi" w:cstheme="minorHAnsi"/>
                <w:color w:val="000000"/>
              </w:rPr>
            </w:pPr>
            <w:r w:rsidRPr="00953C92">
              <w:rPr>
                <w:rFonts w:asciiTheme="minorHAnsi" w:hAnsiTheme="minorHAnsi" w:cstheme="minorHAnsi"/>
                <w:color w:val="000000"/>
              </w:rPr>
              <w:t> </w:t>
            </w:r>
          </w:p>
        </w:tc>
        <w:tc>
          <w:tcPr>
            <w:tcW w:w="663" w:type="dxa"/>
            <w:shd w:val="clear" w:color="auto" w:fill="auto"/>
            <w:noWrap/>
            <w:vAlign w:val="bottom"/>
            <w:hideMark/>
          </w:tcPr>
          <w:p w:rsidR="00C46967" w:rsidRPr="00953C92" w:rsidRDefault="00C46967" w:rsidP="006E2FD9">
            <w:pPr>
              <w:jc w:val="right"/>
              <w:rPr>
                <w:rFonts w:asciiTheme="minorHAnsi" w:hAnsiTheme="minorHAnsi" w:cstheme="minorHAnsi"/>
                <w:color w:val="000000"/>
              </w:rPr>
            </w:pPr>
            <w:r w:rsidRPr="00953C92">
              <w:rPr>
                <w:rFonts w:asciiTheme="minorHAnsi" w:hAnsiTheme="minorHAnsi" w:cstheme="minorHAnsi"/>
                <w:color w:val="000000"/>
              </w:rPr>
              <w:t>11</w:t>
            </w:r>
          </w:p>
        </w:tc>
      </w:tr>
      <w:tr w:rsidR="00C46967" w:rsidRPr="008929EB" w:rsidTr="00421251">
        <w:trPr>
          <w:trHeight w:val="300"/>
        </w:trPr>
        <w:tc>
          <w:tcPr>
            <w:tcW w:w="3984" w:type="dxa"/>
            <w:shd w:val="clear" w:color="auto" w:fill="auto"/>
            <w:noWrap/>
            <w:vAlign w:val="bottom"/>
            <w:hideMark/>
          </w:tcPr>
          <w:p w:rsidR="00C46967" w:rsidRPr="00953C92" w:rsidRDefault="00C46967" w:rsidP="006E2FD9">
            <w:pPr>
              <w:rPr>
                <w:rFonts w:asciiTheme="minorHAnsi" w:hAnsiTheme="minorHAnsi" w:cstheme="minorHAnsi"/>
                <w:b/>
                <w:bCs/>
                <w:color w:val="000000"/>
              </w:rPr>
            </w:pPr>
            <w:r w:rsidRPr="00953C92">
              <w:rPr>
                <w:rFonts w:asciiTheme="minorHAnsi" w:hAnsiTheme="minorHAnsi" w:cstheme="minorHAnsi"/>
                <w:b/>
                <w:bCs/>
                <w:color w:val="000000"/>
              </w:rPr>
              <w:t>Totale complessivo</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b/>
                <w:bCs/>
                <w:color w:val="000000"/>
              </w:rPr>
            </w:pPr>
            <w:r w:rsidRPr="00953C92">
              <w:rPr>
                <w:rFonts w:asciiTheme="minorHAnsi" w:hAnsiTheme="minorHAnsi" w:cstheme="minorHAnsi"/>
                <w:b/>
                <w:bCs/>
                <w:color w:val="000000"/>
              </w:rPr>
              <w:t>2</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b/>
                <w:bCs/>
                <w:color w:val="000000"/>
              </w:rPr>
            </w:pPr>
            <w:r w:rsidRPr="00953C92">
              <w:rPr>
                <w:rFonts w:asciiTheme="minorHAnsi" w:hAnsiTheme="minorHAnsi" w:cstheme="minorHAnsi"/>
                <w:b/>
                <w:bCs/>
                <w:color w:val="000000"/>
              </w:rPr>
              <w:t>4</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b/>
                <w:bCs/>
                <w:color w:val="000000"/>
              </w:rPr>
            </w:pPr>
            <w:r w:rsidRPr="00953C92">
              <w:rPr>
                <w:rFonts w:asciiTheme="minorHAnsi" w:hAnsiTheme="minorHAnsi" w:cstheme="minorHAnsi"/>
                <w:b/>
                <w:bCs/>
                <w:color w:val="000000"/>
              </w:rPr>
              <w:t>1</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b/>
                <w:bCs/>
                <w:color w:val="000000"/>
              </w:rPr>
            </w:pPr>
            <w:r w:rsidRPr="00953C92">
              <w:rPr>
                <w:rFonts w:asciiTheme="minorHAnsi" w:hAnsiTheme="minorHAnsi" w:cstheme="minorHAnsi"/>
                <w:b/>
                <w:bCs/>
                <w:color w:val="000000"/>
              </w:rPr>
              <w:t>2</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b/>
                <w:bCs/>
                <w:color w:val="000000"/>
              </w:rPr>
            </w:pPr>
            <w:r w:rsidRPr="00953C92">
              <w:rPr>
                <w:rFonts w:asciiTheme="minorHAnsi" w:hAnsiTheme="minorHAnsi" w:cstheme="minorHAnsi"/>
                <w:b/>
                <w:bCs/>
                <w:color w:val="000000"/>
              </w:rPr>
              <w:t>2</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b/>
                <w:bCs/>
                <w:color w:val="000000"/>
              </w:rPr>
            </w:pPr>
            <w:r w:rsidRPr="00953C92">
              <w:rPr>
                <w:rFonts w:asciiTheme="minorHAnsi" w:hAnsiTheme="minorHAnsi" w:cstheme="minorHAnsi"/>
                <w:b/>
                <w:bCs/>
                <w:color w:val="000000"/>
              </w:rPr>
              <w:t>28</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b/>
                <w:bCs/>
                <w:color w:val="000000"/>
              </w:rPr>
            </w:pPr>
            <w:r w:rsidRPr="00953C92">
              <w:rPr>
                <w:rFonts w:asciiTheme="minorHAnsi" w:hAnsiTheme="minorHAnsi" w:cstheme="minorHAnsi"/>
                <w:b/>
                <w:bCs/>
                <w:color w:val="000000"/>
              </w:rPr>
              <w:t>1</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b/>
                <w:bCs/>
                <w:color w:val="000000"/>
              </w:rPr>
            </w:pPr>
            <w:r w:rsidRPr="00953C92">
              <w:rPr>
                <w:rFonts w:asciiTheme="minorHAnsi" w:hAnsiTheme="minorHAnsi" w:cstheme="minorHAnsi"/>
                <w:b/>
                <w:bCs/>
                <w:color w:val="000000"/>
              </w:rPr>
              <w:t>1</w:t>
            </w:r>
          </w:p>
        </w:tc>
        <w:tc>
          <w:tcPr>
            <w:tcW w:w="666" w:type="dxa"/>
            <w:shd w:val="clear" w:color="auto" w:fill="auto"/>
            <w:noWrap/>
            <w:vAlign w:val="bottom"/>
            <w:hideMark/>
          </w:tcPr>
          <w:p w:rsidR="00C46967" w:rsidRPr="00953C92" w:rsidRDefault="00C46967" w:rsidP="006E2FD9">
            <w:pPr>
              <w:jc w:val="right"/>
              <w:rPr>
                <w:rFonts w:asciiTheme="minorHAnsi" w:hAnsiTheme="minorHAnsi" w:cstheme="minorHAnsi"/>
                <w:b/>
                <w:bCs/>
                <w:color w:val="000000"/>
              </w:rPr>
            </w:pPr>
            <w:r w:rsidRPr="00953C92">
              <w:rPr>
                <w:rFonts w:asciiTheme="minorHAnsi" w:hAnsiTheme="minorHAnsi" w:cstheme="minorHAnsi"/>
                <w:b/>
                <w:bCs/>
                <w:color w:val="000000"/>
              </w:rPr>
              <w:t>1</w:t>
            </w:r>
          </w:p>
        </w:tc>
        <w:tc>
          <w:tcPr>
            <w:tcW w:w="663" w:type="dxa"/>
            <w:shd w:val="clear" w:color="auto" w:fill="auto"/>
            <w:noWrap/>
            <w:vAlign w:val="bottom"/>
            <w:hideMark/>
          </w:tcPr>
          <w:p w:rsidR="00C46967" w:rsidRPr="00953C92" w:rsidRDefault="00C46967" w:rsidP="006E2FD9">
            <w:pPr>
              <w:jc w:val="right"/>
              <w:rPr>
                <w:rFonts w:asciiTheme="minorHAnsi" w:hAnsiTheme="minorHAnsi" w:cstheme="minorHAnsi"/>
                <w:b/>
                <w:bCs/>
                <w:color w:val="000000"/>
              </w:rPr>
            </w:pPr>
            <w:r w:rsidRPr="00953C92">
              <w:rPr>
                <w:rFonts w:asciiTheme="minorHAnsi" w:hAnsiTheme="minorHAnsi" w:cstheme="minorHAnsi"/>
                <w:b/>
                <w:bCs/>
                <w:color w:val="000000"/>
              </w:rPr>
              <w:t>39</w:t>
            </w:r>
          </w:p>
        </w:tc>
      </w:tr>
    </w:tbl>
    <w:p w:rsidR="00C46967" w:rsidRPr="008929EB" w:rsidRDefault="00C46967" w:rsidP="00C46967">
      <w:pPr>
        <w:jc w:val="both"/>
        <w:rPr>
          <w:rFonts w:ascii="Garamond" w:hAnsi="Garamond" w:cstheme="minorHAnsi"/>
          <w:sz w:val="24"/>
          <w:szCs w:val="24"/>
        </w:rPr>
      </w:pPr>
      <w:r w:rsidRPr="008929EB">
        <w:rPr>
          <w:rFonts w:ascii="Garamond" w:hAnsi="Garamond" w:cstheme="minorHAnsi"/>
          <w:sz w:val="24"/>
          <w:szCs w:val="24"/>
        </w:rPr>
        <w:t>Gli istituti o centri di riabilitazione ex art. 26 L.833/78 sono 5, per complessivi 14 posti letto residenziali e 189 posti letto semiresidenziali (fonte dati modello RIA 11 anno 2015).</w:t>
      </w:r>
    </w:p>
    <w:p w:rsidR="00C46967" w:rsidRDefault="00C46967" w:rsidP="00C46967">
      <w:pPr>
        <w:rPr>
          <w:rFonts w:ascii="Garamond" w:hAnsi="Garamond" w:cstheme="minorHAnsi"/>
          <w:sz w:val="24"/>
          <w:szCs w:val="24"/>
        </w:rPr>
      </w:pPr>
      <w:r>
        <w:rPr>
          <w:rFonts w:ascii="Garamond" w:hAnsi="Garamond" w:cstheme="minorHAnsi"/>
          <w:sz w:val="24"/>
          <w:szCs w:val="24"/>
        </w:rPr>
        <w:br w:type="page"/>
      </w:r>
    </w:p>
    <w:p w:rsidR="00C46967" w:rsidRPr="008929EB" w:rsidRDefault="00C46967" w:rsidP="00C46967">
      <w:pPr>
        <w:jc w:val="both"/>
        <w:rPr>
          <w:rFonts w:ascii="Garamond" w:hAnsi="Garamond" w:cstheme="minorHAnsi"/>
          <w:sz w:val="24"/>
          <w:szCs w:val="24"/>
        </w:rPr>
      </w:pPr>
    </w:p>
    <w:tbl>
      <w:tblPr>
        <w:tblW w:w="8398" w:type="dxa"/>
        <w:tblInd w:w="55" w:type="dxa"/>
        <w:tblCellMar>
          <w:left w:w="70" w:type="dxa"/>
          <w:right w:w="70" w:type="dxa"/>
        </w:tblCellMar>
        <w:tblLook w:val="04A0"/>
      </w:tblPr>
      <w:tblGrid>
        <w:gridCol w:w="4835"/>
        <w:gridCol w:w="1843"/>
        <w:gridCol w:w="1720"/>
      </w:tblGrid>
      <w:tr w:rsidR="00C46967" w:rsidRPr="008929EB" w:rsidTr="006E2FD9">
        <w:trPr>
          <w:trHeight w:val="900"/>
        </w:trPr>
        <w:tc>
          <w:tcPr>
            <w:tcW w:w="4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967" w:rsidRPr="008929EB" w:rsidRDefault="00C46967" w:rsidP="006E2FD9">
            <w:pPr>
              <w:jc w:val="center"/>
              <w:rPr>
                <w:rFonts w:ascii="Garamond" w:hAnsi="Garamond" w:cstheme="minorHAnsi"/>
                <w:sz w:val="24"/>
                <w:szCs w:val="24"/>
              </w:rPr>
            </w:pPr>
            <w:r w:rsidRPr="008929EB">
              <w:rPr>
                <w:rFonts w:ascii="Garamond" w:hAnsi="Garamond" w:cstheme="minorHAnsi"/>
                <w:sz w:val="24"/>
                <w:szCs w:val="24"/>
              </w:rPr>
              <w:t>Denominazione struttura</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C46967" w:rsidRPr="008929EB" w:rsidRDefault="00C46967" w:rsidP="006E2FD9">
            <w:pPr>
              <w:jc w:val="center"/>
              <w:rPr>
                <w:rFonts w:ascii="Garamond" w:hAnsi="Garamond" w:cstheme="minorHAnsi"/>
                <w:sz w:val="24"/>
                <w:szCs w:val="24"/>
              </w:rPr>
            </w:pPr>
            <w:r w:rsidRPr="008929EB">
              <w:rPr>
                <w:rFonts w:ascii="Garamond" w:hAnsi="Garamond" w:cstheme="minorHAnsi"/>
                <w:sz w:val="24"/>
                <w:szCs w:val="24"/>
              </w:rPr>
              <w:t>Assistenza residenziale.</w:t>
            </w:r>
          </w:p>
          <w:p w:rsidR="00C46967" w:rsidRPr="008929EB" w:rsidRDefault="00C46967" w:rsidP="006E2FD9">
            <w:pPr>
              <w:jc w:val="center"/>
              <w:rPr>
                <w:rFonts w:ascii="Garamond" w:hAnsi="Garamond" w:cstheme="minorHAnsi"/>
                <w:sz w:val="24"/>
                <w:szCs w:val="24"/>
              </w:rPr>
            </w:pPr>
            <w:r w:rsidRPr="008929EB">
              <w:rPr>
                <w:rFonts w:ascii="Garamond" w:hAnsi="Garamond" w:cstheme="minorHAnsi"/>
                <w:sz w:val="24"/>
                <w:szCs w:val="24"/>
              </w:rPr>
              <w:t>Posti letto</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rsidR="00C46967" w:rsidRPr="008929EB" w:rsidRDefault="00C46967" w:rsidP="006E2FD9">
            <w:pPr>
              <w:jc w:val="center"/>
              <w:rPr>
                <w:rFonts w:ascii="Garamond" w:hAnsi="Garamond" w:cstheme="minorHAnsi"/>
                <w:sz w:val="24"/>
                <w:szCs w:val="24"/>
              </w:rPr>
            </w:pPr>
            <w:r w:rsidRPr="008929EB">
              <w:rPr>
                <w:rFonts w:ascii="Garamond" w:hAnsi="Garamond" w:cstheme="minorHAnsi"/>
                <w:sz w:val="24"/>
                <w:szCs w:val="24"/>
              </w:rPr>
              <w:t>Assistenza semiresidenziale.</w:t>
            </w:r>
          </w:p>
          <w:p w:rsidR="00C46967" w:rsidRPr="008929EB" w:rsidRDefault="00C46967" w:rsidP="006E2FD9">
            <w:pPr>
              <w:jc w:val="center"/>
              <w:rPr>
                <w:rFonts w:ascii="Garamond" w:hAnsi="Garamond" w:cstheme="minorHAnsi"/>
                <w:sz w:val="24"/>
                <w:szCs w:val="24"/>
              </w:rPr>
            </w:pPr>
            <w:r w:rsidRPr="008929EB">
              <w:rPr>
                <w:rFonts w:ascii="Garamond" w:hAnsi="Garamond" w:cstheme="minorHAnsi"/>
                <w:sz w:val="24"/>
                <w:szCs w:val="24"/>
              </w:rPr>
              <w:t>Posti letto</w:t>
            </w:r>
          </w:p>
        </w:tc>
      </w:tr>
      <w:tr w:rsidR="00C46967" w:rsidRPr="008929EB" w:rsidTr="006E2FD9">
        <w:trPr>
          <w:trHeight w:val="450"/>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46967" w:rsidRPr="008929EB" w:rsidRDefault="00C46967" w:rsidP="006E2FD9">
            <w:pPr>
              <w:rPr>
                <w:rFonts w:ascii="Garamond" w:hAnsi="Garamond" w:cstheme="minorHAnsi"/>
                <w:sz w:val="24"/>
                <w:szCs w:val="24"/>
              </w:rPr>
            </w:pPr>
            <w:r w:rsidRPr="008929EB">
              <w:rPr>
                <w:rFonts w:ascii="Garamond" w:hAnsi="Garamond" w:cstheme="minorHAnsi"/>
                <w:sz w:val="24"/>
                <w:szCs w:val="24"/>
              </w:rPr>
              <w:t>FRIULI RIABILITAZIONE s.r.l.</w:t>
            </w:r>
          </w:p>
        </w:tc>
        <w:tc>
          <w:tcPr>
            <w:tcW w:w="1843" w:type="dxa"/>
            <w:tcBorders>
              <w:top w:val="nil"/>
              <w:left w:val="nil"/>
              <w:bottom w:val="single" w:sz="4" w:space="0" w:color="000000"/>
              <w:right w:val="single" w:sz="4" w:space="0" w:color="000000"/>
            </w:tcBorders>
            <w:shd w:val="clear" w:color="auto" w:fill="auto"/>
            <w:vAlign w:val="center"/>
            <w:hideMark/>
          </w:tcPr>
          <w:p w:rsidR="00C46967" w:rsidRPr="008929EB" w:rsidRDefault="00C46967" w:rsidP="006E2FD9">
            <w:pPr>
              <w:jc w:val="right"/>
              <w:rPr>
                <w:rFonts w:ascii="Garamond" w:hAnsi="Garamond" w:cstheme="minorHAnsi"/>
                <w:sz w:val="24"/>
                <w:szCs w:val="24"/>
              </w:rPr>
            </w:pPr>
            <w:r w:rsidRPr="008929EB">
              <w:rPr>
                <w:rFonts w:ascii="Garamond" w:hAnsi="Garamond" w:cstheme="minorHAnsi"/>
                <w:sz w:val="24"/>
                <w:szCs w:val="24"/>
              </w:rPr>
              <w:t>0</w:t>
            </w:r>
          </w:p>
        </w:tc>
        <w:tc>
          <w:tcPr>
            <w:tcW w:w="1720" w:type="dxa"/>
            <w:tcBorders>
              <w:top w:val="nil"/>
              <w:left w:val="nil"/>
              <w:bottom w:val="single" w:sz="4" w:space="0" w:color="000000"/>
              <w:right w:val="single" w:sz="4" w:space="0" w:color="000000"/>
            </w:tcBorders>
            <w:shd w:val="clear" w:color="auto" w:fill="auto"/>
            <w:vAlign w:val="center"/>
            <w:hideMark/>
          </w:tcPr>
          <w:p w:rsidR="00C46967" w:rsidRPr="008929EB" w:rsidRDefault="00C46967" w:rsidP="006E2FD9">
            <w:pPr>
              <w:jc w:val="right"/>
              <w:rPr>
                <w:rFonts w:ascii="Garamond" w:hAnsi="Garamond" w:cstheme="minorHAnsi"/>
                <w:sz w:val="24"/>
                <w:szCs w:val="24"/>
              </w:rPr>
            </w:pPr>
            <w:r w:rsidRPr="008929EB">
              <w:rPr>
                <w:rFonts w:ascii="Garamond" w:hAnsi="Garamond" w:cstheme="minorHAnsi"/>
                <w:sz w:val="24"/>
                <w:szCs w:val="24"/>
              </w:rPr>
              <w:t>0</w:t>
            </w:r>
          </w:p>
        </w:tc>
      </w:tr>
      <w:tr w:rsidR="00C46967" w:rsidRPr="008929EB" w:rsidTr="006E2FD9">
        <w:trPr>
          <w:trHeight w:val="450"/>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46967" w:rsidRPr="008929EB" w:rsidRDefault="00C46967" w:rsidP="006E2FD9">
            <w:pPr>
              <w:rPr>
                <w:rFonts w:ascii="Garamond" w:hAnsi="Garamond" w:cstheme="minorHAnsi"/>
                <w:sz w:val="24"/>
                <w:szCs w:val="24"/>
              </w:rPr>
            </w:pPr>
            <w:r w:rsidRPr="008929EB">
              <w:rPr>
                <w:rFonts w:ascii="Garamond" w:hAnsi="Garamond" w:cstheme="minorHAnsi"/>
                <w:sz w:val="24"/>
                <w:szCs w:val="24"/>
              </w:rPr>
              <w:t>ASSOCIAZ.  LA NOSTRA FAMIGLIA di SAN VITO AL T.</w:t>
            </w:r>
          </w:p>
        </w:tc>
        <w:tc>
          <w:tcPr>
            <w:tcW w:w="1843" w:type="dxa"/>
            <w:tcBorders>
              <w:top w:val="nil"/>
              <w:left w:val="nil"/>
              <w:bottom w:val="single" w:sz="4" w:space="0" w:color="000000"/>
              <w:right w:val="single" w:sz="4" w:space="0" w:color="000000"/>
            </w:tcBorders>
            <w:shd w:val="clear" w:color="auto" w:fill="auto"/>
            <w:vAlign w:val="center"/>
            <w:hideMark/>
          </w:tcPr>
          <w:p w:rsidR="00C46967" w:rsidRPr="008929EB" w:rsidRDefault="00C46967" w:rsidP="006E2FD9">
            <w:pPr>
              <w:jc w:val="right"/>
              <w:rPr>
                <w:rFonts w:ascii="Garamond" w:hAnsi="Garamond" w:cstheme="minorHAnsi"/>
                <w:sz w:val="24"/>
                <w:szCs w:val="24"/>
              </w:rPr>
            </w:pPr>
            <w:r w:rsidRPr="008929EB">
              <w:rPr>
                <w:rFonts w:ascii="Garamond" w:hAnsi="Garamond" w:cstheme="minorHAnsi"/>
                <w:sz w:val="24"/>
                <w:szCs w:val="24"/>
              </w:rPr>
              <w:t>0</w:t>
            </w:r>
          </w:p>
        </w:tc>
        <w:tc>
          <w:tcPr>
            <w:tcW w:w="1720" w:type="dxa"/>
            <w:tcBorders>
              <w:top w:val="nil"/>
              <w:left w:val="nil"/>
              <w:bottom w:val="single" w:sz="4" w:space="0" w:color="000000"/>
              <w:right w:val="single" w:sz="4" w:space="0" w:color="000000"/>
            </w:tcBorders>
            <w:shd w:val="clear" w:color="auto" w:fill="auto"/>
            <w:vAlign w:val="center"/>
            <w:hideMark/>
          </w:tcPr>
          <w:p w:rsidR="00C46967" w:rsidRPr="008929EB" w:rsidRDefault="00C46967" w:rsidP="006E2FD9">
            <w:pPr>
              <w:jc w:val="right"/>
              <w:rPr>
                <w:rFonts w:ascii="Garamond" w:hAnsi="Garamond" w:cstheme="minorHAnsi"/>
                <w:sz w:val="24"/>
                <w:szCs w:val="24"/>
              </w:rPr>
            </w:pPr>
            <w:r w:rsidRPr="008929EB">
              <w:rPr>
                <w:rFonts w:ascii="Garamond" w:hAnsi="Garamond" w:cstheme="minorHAnsi"/>
                <w:sz w:val="24"/>
                <w:szCs w:val="24"/>
              </w:rPr>
              <w:t>180</w:t>
            </w:r>
          </w:p>
        </w:tc>
      </w:tr>
      <w:tr w:rsidR="00C46967" w:rsidRPr="008929EB" w:rsidTr="006E2FD9">
        <w:trPr>
          <w:trHeight w:val="450"/>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46967" w:rsidRPr="008929EB" w:rsidRDefault="00C46967" w:rsidP="006E2FD9">
            <w:pPr>
              <w:rPr>
                <w:rFonts w:ascii="Garamond" w:hAnsi="Garamond" w:cstheme="minorHAnsi"/>
                <w:sz w:val="24"/>
                <w:szCs w:val="24"/>
              </w:rPr>
            </w:pPr>
            <w:r w:rsidRPr="008929EB">
              <w:rPr>
                <w:rFonts w:ascii="Garamond" w:hAnsi="Garamond" w:cstheme="minorHAnsi"/>
                <w:sz w:val="24"/>
                <w:szCs w:val="24"/>
              </w:rPr>
              <w:t>STUDIO FIS. BUSETTO &amp; PONTE</w:t>
            </w:r>
          </w:p>
        </w:tc>
        <w:tc>
          <w:tcPr>
            <w:tcW w:w="1843" w:type="dxa"/>
            <w:tcBorders>
              <w:top w:val="nil"/>
              <w:left w:val="nil"/>
              <w:bottom w:val="single" w:sz="4" w:space="0" w:color="000000"/>
              <w:right w:val="single" w:sz="4" w:space="0" w:color="000000"/>
            </w:tcBorders>
            <w:shd w:val="clear" w:color="auto" w:fill="auto"/>
            <w:vAlign w:val="center"/>
            <w:hideMark/>
          </w:tcPr>
          <w:p w:rsidR="00C46967" w:rsidRPr="008929EB" w:rsidRDefault="00C46967" w:rsidP="006E2FD9">
            <w:pPr>
              <w:jc w:val="right"/>
              <w:rPr>
                <w:rFonts w:ascii="Garamond" w:hAnsi="Garamond" w:cstheme="minorHAnsi"/>
                <w:sz w:val="24"/>
                <w:szCs w:val="24"/>
              </w:rPr>
            </w:pPr>
            <w:r w:rsidRPr="008929EB">
              <w:rPr>
                <w:rFonts w:ascii="Garamond" w:hAnsi="Garamond" w:cstheme="minorHAnsi"/>
                <w:sz w:val="24"/>
                <w:szCs w:val="24"/>
              </w:rPr>
              <w:t>0</w:t>
            </w:r>
          </w:p>
        </w:tc>
        <w:tc>
          <w:tcPr>
            <w:tcW w:w="1720" w:type="dxa"/>
            <w:tcBorders>
              <w:top w:val="nil"/>
              <w:left w:val="nil"/>
              <w:bottom w:val="single" w:sz="4" w:space="0" w:color="000000"/>
              <w:right w:val="single" w:sz="4" w:space="0" w:color="000000"/>
            </w:tcBorders>
            <w:shd w:val="clear" w:color="auto" w:fill="auto"/>
            <w:vAlign w:val="center"/>
            <w:hideMark/>
          </w:tcPr>
          <w:p w:rsidR="00C46967" w:rsidRPr="008929EB" w:rsidRDefault="00C46967" w:rsidP="006E2FD9">
            <w:pPr>
              <w:jc w:val="right"/>
              <w:rPr>
                <w:rFonts w:ascii="Garamond" w:hAnsi="Garamond" w:cstheme="minorHAnsi"/>
                <w:sz w:val="24"/>
                <w:szCs w:val="24"/>
              </w:rPr>
            </w:pPr>
            <w:r w:rsidRPr="008929EB">
              <w:rPr>
                <w:rFonts w:ascii="Garamond" w:hAnsi="Garamond" w:cstheme="minorHAnsi"/>
                <w:sz w:val="24"/>
                <w:szCs w:val="24"/>
              </w:rPr>
              <w:t>0</w:t>
            </w:r>
          </w:p>
        </w:tc>
      </w:tr>
      <w:tr w:rsidR="00C46967" w:rsidRPr="008929EB" w:rsidTr="006E2FD9">
        <w:trPr>
          <w:trHeight w:val="450"/>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46967" w:rsidRPr="008929EB" w:rsidRDefault="00C46967" w:rsidP="006E2FD9">
            <w:pPr>
              <w:rPr>
                <w:rFonts w:ascii="Garamond" w:hAnsi="Garamond" w:cstheme="minorHAnsi"/>
                <w:sz w:val="24"/>
                <w:szCs w:val="24"/>
              </w:rPr>
            </w:pPr>
            <w:r w:rsidRPr="008929EB">
              <w:rPr>
                <w:rFonts w:ascii="Garamond" w:hAnsi="Garamond" w:cstheme="minorHAnsi"/>
                <w:sz w:val="24"/>
                <w:szCs w:val="24"/>
              </w:rPr>
              <w:t>CENTRO PROGETTO SPILIMBERGO</w:t>
            </w:r>
          </w:p>
        </w:tc>
        <w:tc>
          <w:tcPr>
            <w:tcW w:w="1843" w:type="dxa"/>
            <w:tcBorders>
              <w:top w:val="nil"/>
              <w:left w:val="nil"/>
              <w:bottom w:val="single" w:sz="4" w:space="0" w:color="000000"/>
              <w:right w:val="single" w:sz="4" w:space="0" w:color="000000"/>
            </w:tcBorders>
            <w:shd w:val="clear" w:color="auto" w:fill="auto"/>
            <w:vAlign w:val="center"/>
            <w:hideMark/>
          </w:tcPr>
          <w:p w:rsidR="00C46967" w:rsidRPr="008929EB" w:rsidRDefault="00C46967" w:rsidP="006E2FD9">
            <w:pPr>
              <w:jc w:val="right"/>
              <w:rPr>
                <w:rFonts w:ascii="Garamond" w:hAnsi="Garamond" w:cstheme="minorHAnsi"/>
                <w:sz w:val="24"/>
                <w:szCs w:val="24"/>
              </w:rPr>
            </w:pPr>
            <w:r w:rsidRPr="008929EB">
              <w:rPr>
                <w:rFonts w:ascii="Garamond" w:hAnsi="Garamond" w:cstheme="minorHAnsi"/>
                <w:sz w:val="24"/>
                <w:szCs w:val="24"/>
              </w:rPr>
              <w:t>14</w:t>
            </w:r>
          </w:p>
        </w:tc>
        <w:tc>
          <w:tcPr>
            <w:tcW w:w="1720" w:type="dxa"/>
            <w:tcBorders>
              <w:top w:val="nil"/>
              <w:left w:val="nil"/>
              <w:bottom w:val="single" w:sz="4" w:space="0" w:color="000000"/>
              <w:right w:val="single" w:sz="4" w:space="0" w:color="000000"/>
            </w:tcBorders>
            <w:shd w:val="clear" w:color="auto" w:fill="auto"/>
            <w:vAlign w:val="center"/>
            <w:hideMark/>
          </w:tcPr>
          <w:p w:rsidR="00C46967" w:rsidRPr="008929EB" w:rsidRDefault="00C46967" w:rsidP="006E2FD9">
            <w:pPr>
              <w:jc w:val="right"/>
              <w:rPr>
                <w:rFonts w:ascii="Garamond" w:hAnsi="Garamond" w:cstheme="minorHAnsi"/>
                <w:sz w:val="24"/>
                <w:szCs w:val="24"/>
              </w:rPr>
            </w:pPr>
            <w:r w:rsidRPr="008929EB">
              <w:rPr>
                <w:rFonts w:ascii="Garamond" w:hAnsi="Garamond" w:cstheme="minorHAnsi"/>
                <w:sz w:val="24"/>
                <w:szCs w:val="24"/>
              </w:rPr>
              <w:t>9</w:t>
            </w:r>
          </w:p>
        </w:tc>
      </w:tr>
      <w:tr w:rsidR="00C46967" w:rsidRPr="008929EB" w:rsidTr="006E2FD9">
        <w:trPr>
          <w:trHeight w:val="300"/>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46967" w:rsidRPr="008929EB" w:rsidRDefault="00C46967" w:rsidP="006E2FD9">
            <w:pPr>
              <w:rPr>
                <w:rFonts w:ascii="Garamond" w:hAnsi="Garamond" w:cstheme="minorHAnsi"/>
                <w:sz w:val="24"/>
                <w:szCs w:val="24"/>
              </w:rPr>
            </w:pPr>
            <w:r w:rsidRPr="008929EB">
              <w:rPr>
                <w:rFonts w:ascii="Garamond" w:hAnsi="Garamond" w:cstheme="minorHAnsi"/>
                <w:sz w:val="24"/>
                <w:szCs w:val="24"/>
              </w:rPr>
              <w:t>BAMBINI E AUTISMO</w:t>
            </w:r>
          </w:p>
        </w:tc>
        <w:tc>
          <w:tcPr>
            <w:tcW w:w="1843" w:type="dxa"/>
            <w:tcBorders>
              <w:top w:val="nil"/>
              <w:left w:val="nil"/>
              <w:bottom w:val="single" w:sz="4" w:space="0" w:color="000000"/>
              <w:right w:val="single" w:sz="4" w:space="0" w:color="000000"/>
            </w:tcBorders>
            <w:shd w:val="clear" w:color="auto" w:fill="auto"/>
            <w:vAlign w:val="center"/>
            <w:hideMark/>
          </w:tcPr>
          <w:p w:rsidR="00C46967" w:rsidRPr="008929EB" w:rsidRDefault="00C46967" w:rsidP="006E2FD9">
            <w:pPr>
              <w:jc w:val="right"/>
              <w:rPr>
                <w:rFonts w:ascii="Garamond" w:hAnsi="Garamond" w:cstheme="minorHAnsi"/>
                <w:sz w:val="24"/>
                <w:szCs w:val="24"/>
              </w:rPr>
            </w:pPr>
            <w:r w:rsidRPr="008929EB">
              <w:rPr>
                <w:rFonts w:ascii="Garamond" w:hAnsi="Garamond" w:cstheme="minorHAnsi"/>
                <w:sz w:val="24"/>
                <w:szCs w:val="24"/>
              </w:rPr>
              <w:t>0</w:t>
            </w:r>
          </w:p>
        </w:tc>
        <w:tc>
          <w:tcPr>
            <w:tcW w:w="1720" w:type="dxa"/>
            <w:tcBorders>
              <w:top w:val="nil"/>
              <w:left w:val="nil"/>
              <w:bottom w:val="single" w:sz="4" w:space="0" w:color="000000"/>
              <w:right w:val="single" w:sz="4" w:space="0" w:color="000000"/>
            </w:tcBorders>
            <w:shd w:val="clear" w:color="auto" w:fill="auto"/>
            <w:vAlign w:val="center"/>
            <w:hideMark/>
          </w:tcPr>
          <w:p w:rsidR="00C46967" w:rsidRPr="008929EB" w:rsidRDefault="00C46967" w:rsidP="006E2FD9">
            <w:pPr>
              <w:jc w:val="right"/>
              <w:rPr>
                <w:rFonts w:ascii="Garamond" w:hAnsi="Garamond" w:cstheme="minorHAnsi"/>
                <w:sz w:val="24"/>
                <w:szCs w:val="24"/>
              </w:rPr>
            </w:pPr>
            <w:r w:rsidRPr="008929EB">
              <w:rPr>
                <w:rFonts w:ascii="Garamond" w:hAnsi="Garamond" w:cstheme="minorHAnsi"/>
                <w:sz w:val="24"/>
                <w:szCs w:val="24"/>
              </w:rPr>
              <w:t>0</w:t>
            </w:r>
          </w:p>
        </w:tc>
      </w:tr>
      <w:tr w:rsidR="00C46967" w:rsidRPr="008929EB" w:rsidTr="006E2FD9">
        <w:trPr>
          <w:trHeight w:val="308"/>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46967" w:rsidRPr="008929EB" w:rsidRDefault="00C46967" w:rsidP="006E2FD9">
            <w:pPr>
              <w:rPr>
                <w:rFonts w:ascii="Garamond" w:hAnsi="Garamond" w:cstheme="minorHAnsi"/>
                <w:sz w:val="24"/>
                <w:szCs w:val="24"/>
              </w:rPr>
            </w:pPr>
            <w:r w:rsidRPr="008929EB">
              <w:rPr>
                <w:rFonts w:ascii="Garamond" w:hAnsi="Garamond" w:cstheme="minorHAnsi"/>
                <w:b/>
                <w:bCs/>
                <w:color w:val="000000"/>
                <w:sz w:val="24"/>
                <w:szCs w:val="24"/>
              </w:rPr>
              <w:t xml:space="preserve">Totale posti letto </w:t>
            </w:r>
          </w:p>
        </w:tc>
        <w:tc>
          <w:tcPr>
            <w:tcW w:w="1843" w:type="dxa"/>
            <w:tcBorders>
              <w:top w:val="nil"/>
              <w:left w:val="nil"/>
              <w:bottom w:val="single" w:sz="4" w:space="0" w:color="000000"/>
              <w:right w:val="single" w:sz="4" w:space="0" w:color="000000"/>
            </w:tcBorders>
            <w:shd w:val="clear" w:color="auto" w:fill="auto"/>
            <w:vAlign w:val="center"/>
            <w:hideMark/>
          </w:tcPr>
          <w:p w:rsidR="00C46967" w:rsidRPr="008929EB" w:rsidRDefault="00C46967" w:rsidP="006E2FD9">
            <w:pPr>
              <w:jc w:val="right"/>
              <w:rPr>
                <w:rFonts w:ascii="Garamond" w:hAnsi="Garamond" w:cstheme="minorHAnsi"/>
                <w:b/>
                <w:sz w:val="24"/>
                <w:szCs w:val="24"/>
              </w:rPr>
            </w:pPr>
            <w:r w:rsidRPr="008929EB">
              <w:rPr>
                <w:rFonts w:ascii="Garamond" w:hAnsi="Garamond" w:cstheme="minorHAnsi"/>
                <w:b/>
                <w:sz w:val="24"/>
                <w:szCs w:val="24"/>
              </w:rPr>
              <w:t>14</w:t>
            </w:r>
          </w:p>
        </w:tc>
        <w:tc>
          <w:tcPr>
            <w:tcW w:w="1720" w:type="dxa"/>
            <w:tcBorders>
              <w:top w:val="nil"/>
              <w:left w:val="nil"/>
              <w:bottom w:val="single" w:sz="4" w:space="0" w:color="000000"/>
              <w:right w:val="single" w:sz="4" w:space="0" w:color="000000"/>
            </w:tcBorders>
            <w:shd w:val="clear" w:color="auto" w:fill="auto"/>
            <w:vAlign w:val="center"/>
            <w:hideMark/>
          </w:tcPr>
          <w:p w:rsidR="00C46967" w:rsidRPr="008929EB" w:rsidRDefault="00C46967" w:rsidP="006E2FD9">
            <w:pPr>
              <w:jc w:val="right"/>
              <w:rPr>
                <w:rFonts w:ascii="Garamond" w:hAnsi="Garamond" w:cstheme="minorHAnsi"/>
                <w:b/>
                <w:sz w:val="24"/>
                <w:szCs w:val="24"/>
              </w:rPr>
            </w:pPr>
            <w:r w:rsidRPr="008929EB">
              <w:rPr>
                <w:rFonts w:ascii="Garamond" w:hAnsi="Garamond" w:cstheme="minorHAnsi"/>
                <w:b/>
                <w:sz w:val="24"/>
                <w:szCs w:val="24"/>
              </w:rPr>
              <w:t>189</w:t>
            </w:r>
          </w:p>
        </w:tc>
      </w:tr>
    </w:tbl>
    <w:p w:rsidR="00C46967" w:rsidRPr="008929EB" w:rsidRDefault="00C46967" w:rsidP="00C46967">
      <w:pPr>
        <w:jc w:val="both"/>
        <w:rPr>
          <w:rFonts w:ascii="Garamond" w:hAnsi="Garamond" w:cstheme="minorHAnsi"/>
          <w:b/>
          <w:sz w:val="24"/>
          <w:szCs w:val="24"/>
        </w:rPr>
      </w:pPr>
    </w:p>
    <w:p w:rsidR="00C46967" w:rsidRPr="008929EB" w:rsidRDefault="00C46967" w:rsidP="00C46967">
      <w:pPr>
        <w:spacing w:line="360" w:lineRule="auto"/>
        <w:jc w:val="both"/>
        <w:rPr>
          <w:rFonts w:ascii="Garamond" w:hAnsi="Garamond" w:cstheme="minorHAnsi"/>
          <w:b/>
          <w:sz w:val="24"/>
          <w:szCs w:val="24"/>
        </w:rPr>
      </w:pPr>
      <w:r w:rsidRPr="008929EB">
        <w:rPr>
          <w:rFonts w:ascii="Garamond" w:hAnsi="Garamond" w:cstheme="minorHAnsi"/>
          <w:sz w:val="24"/>
          <w:szCs w:val="24"/>
        </w:rPr>
        <w:t xml:space="preserve">Relativamente alla medicina generale, l’AAS5 opera mediante 215 medici di base, che assistono complessivamente una popolazione pari a 277.232 unità, e 35 pediatri, che assistono complessivamente una popolazione pari a 36.017 unità (fonte dati </w:t>
      </w:r>
      <w:r w:rsidRPr="008929EB">
        <w:rPr>
          <w:rFonts w:ascii="Garamond" w:hAnsi="Garamond" w:cstheme="minorHAnsi"/>
          <w:b/>
          <w:sz w:val="24"/>
          <w:szCs w:val="24"/>
        </w:rPr>
        <w:t xml:space="preserve"> </w:t>
      </w:r>
      <w:r w:rsidRPr="008929EB">
        <w:rPr>
          <w:rFonts w:ascii="Garamond" w:hAnsi="Garamond" w:cstheme="minorHAnsi"/>
          <w:sz w:val="24"/>
          <w:szCs w:val="24"/>
        </w:rPr>
        <w:t>modello FLS 12 anno 2015 – situazione al  31.1.2015).</w:t>
      </w:r>
    </w:p>
    <w:p w:rsidR="00C46967" w:rsidRDefault="00C46967" w:rsidP="00C46967">
      <w:pPr>
        <w:spacing w:line="360" w:lineRule="auto"/>
        <w:rPr>
          <w:rFonts w:ascii="Garamond" w:hAnsi="Garamond" w:cstheme="minorHAnsi"/>
          <w:b/>
          <w:sz w:val="24"/>
          <w:szCs w:val="24"/>
        </w:rPr>
      </w:pPr>
    </w:p>
    <w:p w:rsidR="00C46967" w:rsidRPr="008929EB" w:rsidRDefault="00C46967" w:rsidP="00C46967">
      <w:pPr>
        <w:spacing w:line="360" w:lineRule="auto"/>
        <w:rPr>
          <w:rFonts w:ascii="Garamond" w:hAnsi="Garamond" w:cstheme="minorHAnsi"/>
          <w:b/>
          <w:sz w:val="24"/>
          <w:szCs w:val="24"/>
        </w:rPr>
      </w:pPr>
      <w:r w:rsidRPr="008929EB">
        <w:rPr>
          <w:rFonts w:ascii="Garamond" w:hAnsi="Garamond" w:cstheme="minorHAnsi"/>
          <w:b/>
          <w:sz w:val="24"/>
          <w:szCs w:val="24"/>
        </w:rPr>
        <w:t>PREVENZIONE</w:t>
      </w:r>
    </w:p>
    <w:p w:rsidR="00C46967" w:rsidRPr="008929EB" w:rsidRDefault="00C46967" w:rsidP="00C46967">
      <w:pPr>
        <w:spacing w:line="360" w:lineRule="auto"/>
        <w:jc w:val="both"/>
        <w:rPr>
          <w:rFonts w:ascii="Garamond" w:hAnsi="Garamond" w:cstheme="minorHAnsi"/>
          <w:sz w:val="24"/>
          <w:szCs w:val="24"/>
        </w:rPr>
      </w:pPr>
      <w:r w:rsidRPr="008929EB">
        <w:rPr>
          <w:rFonts w:ascii="Garamond" w:hAnsi="Garamond" w:cstheme="minorHAnsi"/>
          <w:sz w:val="24"/>
          <w:szCs w:val="24"/>
        </w:rPr>
        <w:t>Il Dipartimento di Prevenzione è articolato in 12 sedi operative in tutta la provincia di Pordenone ed è presente con proprio personale (Igiene Pubblica, Veterinari, Igiene degli Alimenti e Nutrizione) in ciascuna delle 5 sedi distrettuali. I servizi veterinari oltre alle sedi distrettuali dispongono di ulteriori 4 sedi. La struttura che opera in un’unica sede è la SC Prevenzione e sicurezza nei luoghi di lavoro (sede centrale di Pordenone).</w:t>
      </w:r>
    </w:p>
    <w:p w:rsidR="00C46967" w:rsidRPr="009E57C0" w:rsidRDefault="00C46967" w:rsidP="00C46967">
      <w:pPr>
        <w:jc w:val="both"/>
        <w:rPr>
          <w:rFonts w:asciiTheme="minorHAnsi" w:hAnsiTheme="minorHAnsi" w:cstheme="minorHAnsi"/>
        </w:rPr>
      </w:pPr>
    </w:p>
    <w:p w:rsidR="00C46967" w:rsidRPr="004659C1" w:rsidRDefault="00C46967" w:rsidP="00C46967">
      <w:pPr>
        <w:autoSpaceDE w:val="0"/>
        <w:autoSpaceDN w:val="0"/>
        <w:adjustRightInd w:val="0"/>
        <w:spacing w:after="0" w:line="240" w:lineRule="auto"/>
        <w:rPr>
          <w:rFonts w:ascii="Garamond" w:eastAsiaTheme="minorHAnsi" w:hAnsi="Garamond" w:cs="CenturyGothic"/>
          <w:sz w:val="24"/>
          <w:szCs w:val="24"/>
        </w:rPr>
      </w:pPr>
    </w:p>
    <w:p w:rsidR="00C46967" w:rsidRDefault="00C46967" w:rsidP="00C46967">
      <w:pPr>
        <w:rPr>
          <w:rFonts w:ascii="Garamond" w:eastAsia="Times New Roman" w:hAnsi="Garamond"/>
          <w:b/>
          <w:color w:val="000000"/>
          <w:sz w:val="24"/>
          <w:szCs w:val="24"/>
          <w:lang w:eastAsia="it-IT"/>
        </w:rPr>
      </w:pPr>
      <w:r>
        <w:rPr>
          <w:rFonts w:ascii="Garamond" w:eastAsia="Times New Roman" w:hAnsi="Garamond"/>
          <w:b/>
          <w:color w:val="000000"/>
          <w:sz w:val="24"/>
          <w:szCs w:val="24"/>
          <w:lang w:eastAsia="it-IT"/>
        </w:rPr>
        <w:br w:type="page"/>
      </w:r>
    </w:p>
    <w:p w:rsidR="00C46967" w:rsidRPr="008929EB" w:rsidRDefault="00C46967" w:rsidP="00C46967">
      <w:pPr>
        <w:spacing w:line="360" w:lineRule="auto"/>
        <w:rPr>
          <w:rFonts w:ascii="Garamond" w:hAnsi="Garamond" w:cstheme="minorHAnsi"/>
          <w:b/>
          <w:sz w:val="24"/>
          <w:szCs w:val="24"/>
        </w:rPr>
      </w:pPr>
      <w:r>
        <w:rPr>
          <w:rFonts w:ascii="Garamond" w:hAnsi="Garamond" w:cstheme="minorHAnsi"/>
          <w:b/>
          <w:sz w:val="24"/>
          <w:szCs w:val="24"/>
        </w:rPr>
        <w:lastRenderedPageBreak/>
        <w:t xml:space="preserve">IL BILANCIO </w:t>
      </w:r>
      <w:proofErr w:type="spellStart"/>
      <w:r>
        <w:rPr>
          <w:rFonts w:ascii="Garamond" w:hAnsi="Garamond" w:cstheme="minorHAnsi"/>
          <w:b/>
          <w:sz w:val="24"/>
          <w:szCs w:val="24"/>
        </w:rPr>
        <w:t>DI</w:t>
      </w:r>
      <w:proofErr w:type="spellEnd"/>
      <w:r>
        <w:rPr>
          <w:rFonts w:ascii="Garamond" w:hAnsi="Garamond" w:cstheme="minorHAnsi"/>
          <w:b/>
          <w:sz w:val="24"/>
          <w:szCs w:val="24"/>
        </w:rPr>
        <w:t xml:space="preserve"> ESERCIZIO</w:t>
      </w:r>
    </w:p>
    <w:p w:rsidR="005D4B1F" w:rsidRDefault="005D4B1F" w:rsidP="005D4B1F">
      <w:pPr>
        <w:pStyle w:val="NormaleWeb"/>
        <w:spacing w:before="0" w:beforeAutospacing="0" w:after="0" w:afterAutospacing="0" w:line="360" w:lineRule="auto"/>
        <w:jc w:val="both"/>
        <w:rPr>
          <w:rFonts w:ascii="Garamond" w:hAnsi="Garamond"/>
          <w:color w:val="000000"/>
        </w:rPr>
      </w:pPr>
      <w:r w:rsidRPr="004107DC">
        <w:rPr>
          <w:rFonts w:ascii="Garamond" w:hAnsi="Garamond"/>
          <w:color w:val="000000"/>
        </w:rPr>
        <w:t>Il bilancio di esercizio è corredato della relazione sulla gestione, redatta dal Direttore generale</w:t>
      </w:r>
      <w:r>
        <w:rPr>
          <w:rFonts w:ascii="Garamond" w:hAnsi="Garamond"/>
          <w:color w:val="000000"/>
        </w:rPr>
        <w:t>, che</w:t>
      </w:r>
      <w:r w:rsidRPr="004107DC">
        <w:rPr>
          <w:rFonts w:ascii="Garamond" w:hAnsi="Garamond"/>
          <w:color w:val="000000"/>
        </w:rPr>
        <w:t xml:space="preserve"> esplicita, motiva e commenta i risultati conseguiti rispetto agli obiettivi posti in sede di programmazione, con particolare riguardo agli investimenti, ai ricavi, ai costi ed agli oneri dell'esercizio</w:t>
      </w:r>
      <w:r>
        <w:rPr>
          <w:rFonts w:ascii="Garamond" w:hAnsi="Garamond"/>
          <w:color w:val="000000"/>
        </w:rPr>
        <w:t xml:space="preserve"> (la relazione è stata redatta secondo le direttive regionali).</w:t>
      </w:r>
    </w:p>
    <w:p w:rsidR="005D4B1F" w:rsidRDefault="005D4B1F" w:rsidP="00197F23">
      <w:pPr>
        <w:spacing w:after="0" w:line="360" w:lineRule="auto"/>
        <w:jc w:val="both"/>
        <w:rPr>
          <w:rFonts w:ascii="Garamond" w:hAnsi="Garamond"/>
          <w:color w:val="000000"/>
          <w:sz w:val="24"/>
          <w:szCs w:val="24"/>
        </w:rPr>
      </w:pPr>
    </w:p>
    <w:p w:rsidR="00197F23" w:rsidRPr="00230DA6" w:rsidRDefault="000E6915" w:rsidP="00197F23">
      <w:pPr>
        <w:spacing w:after="0" w:line="360" w:lineRule="auto"/>
        <w:jc w:val="both"/>
        <w:rPr>
          <w:rFonts w:ascii="Garamond" w:eastAsia="Times New Roman" w:hAnsi="Garamond"/>
          <w:color w:val="000000"/>
          <w:sz w:val="24"/>
          <w:szCs w:val="24"/>
          <w:lang w:eastAsia="it-IT"/>
        </w:rPr>
      </w:pPr>
      <w:r w:rsidRPr="00197F23">
        <w:rPr>
          <w:rFonts w:ascii="Garamond" w:hAnsi="Garamond"/>
          <w:color w:val="000000"/>
          <w:sz w:val="24"/>
          <w:szCs w:val="24"/>
        </w:rPr>
        <w:t xml:space="preserve">Il </w:t>
      </w:r>
      <w:r w:rsidR="00CD7433" w:rsidRPr="00230DA6">
        <w:rPr>
          <w:rFonts w:ascii="Garamond" w:eastAsia="Times New Roman" w:hAnsi="Garamond"/>
          <w:color w:val="000000"/>
          <w:sz w:val="24"/>
          <w:szCs w:val="24"/>
          <w:lang w:eastAsia="it-IT"/>
        </w:rPr>
        <w:t xml:space="preserve">Bilancio d’esercizio </w:t>
      </w:r>
      <w:r w:rsidRPr="00230DA6">
        <w:rPr>
          <w:rFonts w:ascii="Garamond" w:eastAsia="Times New Roman" w:hAnsi="Garamond"/>
          <w:color w:val="000000"/>
          <w:sz w:val="24"/>
          <w:szCs w:val="24"/>
          <w:lang w:eastAsia="it-IT"/>
        </w:rPr>
        <w:t>201</w:t>
      </w:r>
      <w:r w:rsidR="00C116F2" w:rsidRPr="00230DA6">
        <w:rPr>
          <w:rFonts w:ascii="Garamond" w:eastAsia="Times New Roman" w:hAnsi="Garamond"/>
          <w:color w:val="000000"/>
          <w:sz w:val="24"/>
          <w:szCs w:val="24"/>
          <w:lang w:eastAsia="it-IT"/>
        </w:rPr>
        <w:t>5</w:t>
      </w:r>
      <w:r w:rsidRPr="00230DA6">
        <w:rPr>
          <w:rFonts w:ascii="Garamond" w:eastAsia="Times New Roman" w:hAnsi="Garamond"/>
          <w:color w:val="000000"/>
          <w:sz w:val="24"/>
          <w:szCs w:val="24"/>
          <w:lang w:eastAsia="it-IT"/>
        </w:rPr>
        <w:t xml:space="preserve"> è stato </w:t>
      </w:r>
      <w:r w:rsidR="00CD7433" w:rsidRPr="00230DA6">
        <w:rPr>
          <w:rFonts w:ascii="Garamond" w:eastAsia="Times New Roman" w:hAnsi="Garamond"/>
          <w:color w:val="000000"/>
          <w:sz w:val="24"/>
          <w:szCs w:val="24"/>
          <w:lang w:eastAsia="it-IT"/>
        </w:rPr>
        <w:t>approvato</w:t>
      </w:r>
      <w:r w:rsidRPr="00230DA6">
        <w:rPr>
          <w:rFonts w:ascii="Garamond" w:eastAsia="Times New Roman" w:hAnsi="Garamond"/>
          <w:color w:val="000000"/>
          <w:sz w:val="24"/>
          <w:szCs w:val="24"/>
          <w:lang w:eastAsia="it-IT"/>
        </w:rPr>
        <w:t xml:space="preserve"> con decreto n.</w:t>
      </w:r>
      <w:r w:rsidR="00CD7433" w:rsidRPr="00230DA6">
        <w:rPr>
          <w:rFonts w:ascii="Garamond" w:eastAsia="Times New Roman" w:hAnsi="Garamond"/>
          <w:color w:val="000000"/>
          <w:sz w:val="24"/>
          <w:szCs w:val="24"/>
          <w:lang w:eastAsia="it-IT"/>
        </w:rPr>
        <w:t xml:space="preserve"> </w:t>
      </w:r>
      <w:r w:rsidR="00613075" w:rsidRPr="00230DA6">
        <w:rPr>
          <w:rFonts w:ascii="Garamond" w:eastAsia="Times New Roman" w:hAnsi="Garamond"/>
          <w:color w:val="000000"/>
          <w:sz w:val="24"/>
          <w:szCs w:val="24"/>
          <w:lang w:eastAsia="it-IT"/>
        </w:rPr>
        <w:t>2</w:t>
      </w:r>
      <w:r w:rsidR="00C116F2" w:rsidRPr="00230DA6">
        <w:rPr>
          <w:rFonts w:ascii="Garamond" w:eastAsia="Times New Roman" w:hAnsi="Garamond"/>
          <w:color w:val="000000"/>
          <w:sz w:val="24"/>
          <w:szCs w:val="24"/>
          <w:lang w:eastAsia="it-IT"/>
        </w:rPr>
        <w:t>50</w:t>
      </w:r>
      <w:r w:rsidR="00CD7433" w:rsidRPr="00230DA6">
        <w:rPr>
          <w:rFonts w:ascii="Garamond" w:eastAsia="Times New Roman" w:hAnsi="Garamond"/>
          <w:color w:val="000000"/>
          <w:sz w:val="24"/>
          <w:szCs w:val="24"/>
          <w:lang w:eastAsia="it-IT"/>
        </w:rPr>
        <w:t xml:space="preserve"> del </w:t>
      </w:r>
      <w:r w:rsidR="00C116F2" w:rsidRPr="00230DA6">
        <w:rPr>
          <w:rFonts w:ascii="Garamond" w:eastAsia="Times New Roman" w:hAnsi="Garamond"/>
          <w:color w:val="000000"/>
          <w:sz w:val="24"/>
          <w:szCs w:val="24"/>
          <w:lang w:eastAsia="it-IT"/>
        </w:rPr>
        <w:t>29</w:t>
      </w:r>
      <w:r w:rsidR="00CD7433" w:rsidRPr="00230DA6">
        <w:rPr>
          <w:rFonts w:ascii="Garamond" w:eastAsia="Times New Roman" w:hAnsi="Garamond"/>
          <w:color w:val="000000"/>
          <w:sz w:val="24"/>
          <w:szCs w:val="24"/>
          <w:lang w:eastAsia="it-IT"/>
        </w:rPr>
        <w:t>.04.201</w:t>
      </w:r>
      <w:r w:rsidR="00C116F2" w:rsidRPr="00230DA6">
        <w:rPr>
          <w:rFonts w:ascii="Garamond" w:eastAsia="Times New Roman" w:hAnsi="Garamond"/>
          <w:color w:val="000000"/>
          <w:sz w:val="24"/>
          <w:szCs w:val="24"/>
          <w:lang w:eastAsia="it-IT"/>
        </w:rPr>
        <w:t>6</w:t>
      </w:r>
      <w:r w:rsidR="00CD7433" w:rsidRPr="00230DA6">
        <w:rPr>
          <w:rFonts w:ascii="Garamond" w:eastAsia="Times New Roman" w:hAnsi="Garamond"/>
          <w:color w:val="000000"/>
          <w:sz w:val="24"/>
          <w:szCs w:val="24"/>
          <w:lang w:eastAsia="it-IT"/>
        </w:rPr>
        <w:t xml:space="preserve">, ed evidenzia i risultati </w:t>
      </w:r>
      <w:r w:rsidR="00197F23" w:rsidRPr="00230DA6">
        <w:rPr>
          <w:rFonts w:ascii="Garamond" w:eastAsia="Times New Roman" w:hAnsi="Garamond"/>
          <w:color w:val="000000"/>
          <w:sz w:val="24"/>
          <w:szCs w:val="24"/>
          <w:lang w:eastAsia="it-IT"/>
        </w:rPr>
        <w:t>raggiunti sia di carattere sanitario che economico.</w:t>
      </w:r>
    </w:p>
    <w:p w:rsidR="00C116F2" w:rsidRPr="00230DA6" w:rsidRDefault="00C116F2" w:rsidP="00C116F2">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 xml:space="preserve">Il bilancio 2015 della gestione sanitaria dell’Azienda per l’Assistenza Sanitaria n.5 Friuli </w:t>
      </w:r>
      <w:r w:rsidR="0033538F">
        <w:rPr>
          <w:rFonts w:ascii="Garamond" w:eastAsia="Times New Roman" w:hAnsi="Garamond"/>
          <w:color w:val="000000"/>
          <w:sz w:val="24"/>
          <w:szCs w:val="24"/>
          <w:lang w:eastAsia="it-IT"/>
        </w:rPr>
        <w:t>O</w:t>
      </w:r>
      <w:r w:rsidRPr="00230DA6">
        <w:rPr>
          <w:rFonts w:ascii="Garamond" w:eastAsia="Times New Roman" w:hAnsi="Garamond"/>
          <w:color w:val="000000"/>
          <w:sz w:val="24"/>
          <w:szCs w:val="24"/>
          <w:lang w:eastAsia="it-IT"/>
        </w:rPr>
        <w:t>ccidentale chiude con un utile di esercizio di € 2.964.475.</w:t>
      </w:r>
    </w:p>
    <w:p w:rsidR="005512A7" w:rsidRPr="00F75AAC" w:rsidRDefault="005512A7" w:rsidP="005512A7">
      <w:pPr>
        <w:spacing w:after="0" w:line="360" w:lineRule="auto"/>
        <w:jc w:val="both"/>
        <w:rPr>
          <w:rFonts w:ascii="Garamond" w:eastAsia="Times New Roman" w:hAnsi="Garamond"/>
          <w:color w:val="000000"/>
          <w:sz w:val="24"/>
          <w:szCs w:val="24"/>
          <w:lang w:eastAsia="it-IT"/>
        </w:rPr>
      </w:pPr>
      <w:r w:rsidRPr="00C116F2">
        <w:rPr>
          <w:rFonts w:ascii="Garamond" w:hAnsi="Garamond" w:cs="Calibri"/>
          <w:sz w:val="24"/>
          <w:szCs w:val="24"/>
        </w:rPr>
        <w:t xml:space="preserve">Va rilevato che il finanziamento iniziale 2015  non comprendeva la copertura dei costi per i farmaci di </w:t>
      </w:r>
      <w:r w:rsidRPr="00F75AAC">
        <w:rPr>
          <w:rFonts w:ascii="Garamond" w:eastAsia="Times New Roman" w:hAnsi="Garamond"/>
          <w:color w:val="000000"/>
          <w:sz w:val="24"/>
          <w:szCs w:val="24"/>
          <w:lang w:eastAsia="it-IT"/>
        </w:rPr>
        <w:t>nuova introduzione per la cura epatite C , e solo in parte i costi per i farmaci antiemofilia.</w:t>
      </w:r>
    </w:p>
    <w:p w:rsidR="00F75AAC" w:rsidRPr="00F75AAC" w:rsidRDefault="005512A7" w:rsidP="00F75AAC">
      <w:pPr>
        <w:spacing w:line="360" w:lineRule="auto"/>
        <w:jc w:val="both"/>
        <w:rPr>
          <w:rFonts w:ascii="Garamond" w:eastAsia="Times New Roman" w:hAnsi="Garamond"/>
          <w:color w:val="000000"/>
          <w:sz w:val="24"/>
          <w:szCs w:val="24"/>
          <w:lang w:eastAsia="it-IT"/>
        </w:rPr>
      </w:pPr>
      <w:r w:rsidRPr="00F75AAC">
        <w:rPr>
          <w:rFonts w:ascii="Garamond" w:eastAsia="Times New Roman" w:hAnsi="Garamond"/>
          <w:color w:val="000000"/>
          <w:sz w:val="24"/>
          <w:szCs w:val="24"/>
          <w:lang w:eastAsia="it-IT"/>
        </w:rPr>
        <w:t xml:space="preserve">L'avvio dei trattamenti antiepatite per i pazienti presso l'ospedale di Pordenone e il rimborso delle cure per coloro che si sono rivolti negli altri due centri della Regione, hanno comportato notevoli maggiori costi di esercizio che sono stati oggetto di duplice finanziamento integrativo per questa Azienda, pari a € 6.276.210 ed € 8.396.850,  di cui ai provvedimenti di Giunta regionale rispettivamente n.1871/15 e  n.2434 /15   “normalizzando” l’iniziale criterio di costo standard pro-capite per livelli di assistenza che non teneva conto di tali maggiori costi. </w:t>
      </w:r>
      <w:r w:rsidR="00F75AAC" w:rsidRPr="00F75AAC">
        <w:rPr>
          <w:rFonts w:ascii="Garamond" w:eastAsia="Times New Roman" w:hAnsi="Garamond"/>
          <w:color w:val="000000"/>
          <w:sz w:val="24"/>
          <w:szCs w:val="24"/>
          <w:lang w:eastAsia="it-IT"/>
        </w:rPr>
        <w:t xml:space="preserve">L’integrazione al finanziamento ha consentito da un lato la copertura di tutti i costi, ma dall’altro non </w:t>
      </w:r>
      <w:r w:rsidR="00F75AAC">
        <w:rPr>
          <w:rFonts w:ascii="Garamond" w:eastAsia="Times New Roman" w:hAnsi="Garamond"/>
          <w:color w:val="000000"/>
          <w:sz w:val="24"/>
          <w:szCs w:val="24"/>
          <w:lang w:eastAsia="it-IT"/>
        </w:rPr>
        <w:t>essendo stata</w:t>
      </w:r>
      <w:r w:rsidR="00F75AAC" w:rsidRPr="00F75AAC">
        <w:rPr>
          <w:rFonts w:ascii="Garamond" w:eastAsia="Times New Roman" w:hAnsi="Garamond"/>
          <w:color w:val="000000"/>
          <w:sz w:val="24"/>
          <w:szCs w:val="24"/>
          <w:lang w:eastAsia="it-IT"/>
        </w:rPr>
        <w:t xml:space="preserve"> </w:t>
      </w:r>
      <w:r w:rsidR="00F75AAC">
        <w:rPr>
          <w:rFonts w:ascii="Garamond" w:eastAsia="Times New Roman" w:hAnsi="Garamond"/>
          <w:color w:val="000000"/>
          <w:sz w:val="24"/>
          <w:szCs w:val="24"/>
          <w:lang w:eastAsia="it-IT"/>
        </w:rPr>
        <w:t xml:space="preserve">effettuata </w:t>
      </w:r>
      <w:r w:rsidR="00F75AAC" w:rsidRPr="00F75AAC">
        <w:rPr>
          <w:rFonts w:ascii="Garamond" w:eastAsia="Times New Roman" w:hAnsi="Garamond"/>
          <w:color w:val="000000"/>
          <w:sz w:val="24"/>
          <w:szCs w:val="24"/>
          <w:lang w:eastAsia="it-IT"/>
        </w:rPr>
        <w:t xml:space="preserve">una ridistribuzione </w:t>
      </w:r>
      <w:r w:rsidR="00F75AAC">
        <w:rPr>
          <w:rFonts w:ascii="Garamond" w:eastAsia="Times New Roman" w:hAnsi="Garamond"/>
          <w:color w:val="000000"/>
          <w:sz w:val="24"/>
          <w:szCs w:val="24"/>
          <w:lang w:eastAsia="it-IT"/>
        </w:rPr>
        <w:t xml:space="preserve">del finanziamento integrativo sui vincoli regionali, l’assegnazione ha di </w:t>
      </w:r>
      <w:r w:rsidR="00F75AAC" w:rsidRPr="00F75AAC">
        <w:rPr>
          <w:rFonts w:ascii="Garamond" w:eastAsia="Times New Roman" w:hAnsi="Garamond"/>
          <w:color w:val="000000"/>
          <w:sz w:val="24"/>
          <w:szCs w:val="24"/>
          <w:lang w:eastAsia="it-IT"/>
        </w:rPr>
        <w:t>fatto reso “compatibili” anche eventuali sfondamenti del budget assegnato.</w:t>
      </w:r>
    </w:p>
    <w:p w:rsidR="00C116F2" w:rsidRPr="00230DA6" w:rsidRDefault="00C116F2" w:rsidP="0063084C">
      <w:pPr>
        <w:spacing w:after="0"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 xml:space="preserve">Il risultato è attribuibile sostanzialmente alla gestione c.d. caratteristica: considerando infatti la differenza tra valore e costi della produzione al netto delle imposte (Irap e </w:t>
      </w:r>
      <w:proofErr w:type="spellStart"/>
      <w:r w:rsidRPr="00230DA6">
        <w:rPr>
          <w:rFonts w:ascii="Garamond" w:eastAsia="Times New Roman" w:hAnsi="Garamond"/>
          <w:color w:val="000000"/>
          <w:sz w:val="24"/>
          <w:szCs w:val="24"/>
          <w:lang w:eastAsia="it-IT"/>
        </w:rPr>
        <w:t>Ires</w:t>
      </w:r>
      <w:proofErr w:type="spellEnd"/>
      <w:r w:rsidRPr="00230DA6">
        <w:rPr>
          <w:rFonts w:ascii="Garamond" w:eastAsia="Times New Roman" w:hAnsi="Garamond"/>
          <w:color w:val="000000"/>
          <w:sz w:val="24"/>
          <w:szCs w:val="24"/>
          <w:lang w:eastAsia="it-IT"/>
        </w:rPr>
        <w:t xml:space="preserve">) e neutralizzando il valore, iscritto tra i costi capitalizzati, a pareggio della minusvalenza derivante dalle demolizioni dei padiglioni G, S, T, U, V, W  (€ valore contabile € 2.956.495 iscritto tra le partite straordinarie), in relazione alle opere del nuovo ospedale di Pordenone, si rileva il risultato di € 2.334.350  effettivamente attribuibile alla gestione </w:t>
      </w:r>
      <w:r w:rsidR="00D1160C">
        <w:rPr>
          <w:rFonts w:ascii="Garamond" w:eastAsia="Times New Roman" w:hAnsi="Garamond"/>
          <w:color w:val="000000"/>
          <w:sz w:val="24"/>
          <w:szCs w:val="24"/>
          <w:lang w:eastAsia="it-IT"/>
        </w:rPr>
        <w:t>caratteristica</w:t>
      </w:r>
      <w:r w:rsidRPr="00230DA6">
        <w:rPr>
          <w:rFonts w:ascii="Garamond" w:eastAsia="Times New Roman" w:hAnsi="Garamond"/>
          <w:color w:val="000000"/>
          <w:sz w:val="24"/>
          <w:szCs w:val="24"/>
          <w:lang w:eastAsia="it-IT"/>
        </w:rPr>
        <w:t xml:space="preserve"> 2015.</w:t>
      </w:r>
    </w:p>
    <w:p w:rsidR="00C116F2" w:rsidRPr="00230DA6" w:rsidRDefault="00C116F2" w:rsidP="00C116F2">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Sul piano delle attività economiche la gestione 2015 ha proseguito nello sviluppo di azioni finalizzate ad allineare le proprie attività al modello di finanziamento regionale basato su costi standard, introdotto nel 2014 e ulteriormente implementato nel 2015, e nel recupero di efficienza nell'utilizzo dei fattori produttivi, azioni sempre più necessarie in un contesto di riduzione dei finanziamenti disponibili e in presenza di normative nazionali e regionali vincolanti.</w:t>
      </w:r>
    </w:p>
    <w:p w:rsidR="00230DA6" w:rsidRPr="00230DA6" w:rsidRDefault="00230DA6" w:rsidP="005512A7">
      <w:pPr>
        <w:spacing w:after="0"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lastRenderedPageBreak/>
        <w:t xml:space="preserve">Sul piano delle regole contabili l'esercizio 2015 è caratterizzato dall'applicazione delle disposizioni del d.lgs. 118/2011, a cui si rifanno i nuovi schemi di bilancio, il piano dei conti, la nota integrativa e il rendiconto finanziario.   </w:t>
      </w:r>
    </w:p>
    <w:p w:rsidR="00230DA6" w:rsidRPr="00230DA6" w:rsidRDefault="00230DA6" w:rsidP="00230DA6">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 xml:space="preserve">Sul fronte dei costi le linee di gestione regionali confermavano specifici vincoli operativi, già introdotti nell'esercizio 2014, a carico dei seguenti fattori critici di spesa: procapite spesa farmaceutica territoriale (convenzionata e DPC), costo farmaci - componente ospedaliera, manutenzioni edili impiantistiche, costo competenze fisse del personale. </w:t>
      </w:r>
    </w:p>
    <w:p w:rsidR="00230DA6" w:rsidRPr="00230DA6" w:rsidRDefault="00230DA6" w:rsidP="00230DA6">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 xml:space="preserve">Su queste voci, che sono state oggetto di monitoraggio periodico anche presso la Direzione centrale salute, si registrano a consuntivo i seguenti risultati rispetto al valore di previsione:  </w:t>
      </w:r>
    </w:p>
    <w:p w:rsidR="00A910B4" w:rsidRDefault="00A910B4" w:rsidP="00230DA6">
      <w:pPr>
        <w:spacing w:line="360" w:lineRule="auto"/>
        <w:jc w:val="both"/>
        <w:rPr>
          <w:rFonts w:asciiTheme="minorHAnsi" w:hAnsiTheme="minorHAnsi" w:cstheme="minorHAnsi"/>
          <w:b/>
          <w:u w:val="single"/>
        </w:rPr>
      </w:pPr>
    </w:p>
    <w:p w:rsidR="00230DA6" w:rsidRPr="00784279" w:rsidRDefault="00230DA6" w:rsidP="00230DA6">
      <w:pPr>
        <w:spacing w:line="360" w:lineRule="auto"/>
        <w:jc w:val="both"/>
        <w:rPr>
          <w:rFonts w:asciiTheme="minorHAnsi" w:hAnsiTheme="minorHAnsi" w:cstheme="minorHAnsi"/>
          <w:b/>
          <w:u w:val="single"/>
        </w:rPr>
      </w:pPr>
      <w:r w:rsidRPr="00784279">
        <w:rPr>
          <w:rFonts w:asciiTheme="minorHAnsi" w:hAnsiTheme="minorHAnsi" w:cstheme="minorHAnsi"/>
          <w:b/>
          <w:u w:val="single"/>
        </w:rPr>
        <w:t xml:space="preserve">FARMACEUTICA TERRITORIALE </w:t>
      </w:r>
    </w:p>
    <w:p w:rsidR="00230DA6" w:rsidRPr="00230DA6" w:rsidRDefault="00230DA6" w:rsidP="00230DA6">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 xml:space="preserve">Vincolo a preventivo per convenzionata + DPC : costo da iscrivere a bilancio, pari al finanziamento di  € 49.984.029 ,  commisurato ai seguenti valori procapite : </w:t>
      </w:r>
    </w:p>
    <w:tbl>
      <w:tblPr>
        <w:tblW w:w="10380" w:type="dxa"/>
        <w:tblInd w:w="70" w:type="dxa"/>
        <w:tblCellMar>
          <w:left w:w="70" w:type="dxa"/>
          <w:right w:w="70" w:type="dxa"/>
        </w:tblCellMar>
        <w:tblLook w:val="04A0"/>
      </w:tblPr>
      <w:tblGrid>
        <w:gridCol w:w="6200"/>
        <w:gridCol w:w="1360"/>
        <w:gridCol w:w="2820"/>
      </w:tblGrid>
      <w:tr w:rsidR="00230DA6" w:rsidRPr="00784279" w:rsidTr="00126493">
        <w:trPr>
          <w:trHeight w:val="264"/>
        </w:trPr>
        <w:tc>
          <w:tcPr>
            <w:tcW w:w="620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rPr>
                <w:rFonts w:asciiTheme="minorHAnsi" w:hAnsiTheme="minorHAnsi" w:cstheme="minorHAnsi"/>
              </w:rPr>
            </w:pPr>
          </w:p>
        </w:tc>
        <w:tc>
          <w:tcPr>
            <w:tcW w:w="136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rPr>
                <w:rFonts w:asciiTheme="minorHAnsi" w:hAnsiTheme="minorHAnsi" w:cstheme="minorHAnsi"/>
              </w:rPr>
            </w:pPr>
          </w:p>
        </w:tc>
        <w:tc>
          <w:tcPr>
            <w:tcW w:w="282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rPr>
                <w:rFonts w:asciiTheme="minorHAnsi" w:hAnsiTheme="minorHAnsi" w:cstheme="minorHAnsi"/>
                <w:b/>
                <w:bCs/>
              </w:rPr>
            </w:pPr>
            <w:r w:rsidRPr="00784279">
              <w:rPr>
                <w:rFonts w:asciiTheme="minorHAnsi" w:hAnsiTheme="minorHAnsi" w:cstheme="minorHAnsi"/>
                <w:b/>
                <w:bCs/>
              </w:rPr>
              <w:t>Obiettivo</w:t>
            </w:r>
          </w:p>
        </w:tc>
      </w:tr>
      <w:tr w:rsidR="00230DA6" w:rsidRPr="00784279" w:rsidTr="00126493">
        <w:trPr>
          <w:trHeight w:val="264"/>
        </w:trPr>
        <w:tc>
          <w:tcPr>
            <w:tcW w:w="620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rPr>
                <w:rFonts w:asciiTheme="minorHAnsi" w:hAnsiTheme="minorHAnsi" w:cstheme="minorHAnsi"/>
                <w:b/>
                <w:bCs/>
              </w:rPr>
            </w:pPr>
            <w:r w:rsidRPr="00784279">
              <w:rPr>
                <w:rFonts w:asciiTheme="minorHAnsi" w:hAnsiTheme="minorHAnsi" w:cstheme="minorHAnsi"/>
                <w:b/>
                <w:bCs/>
              </w:rPr>
              <w:t>CONVENZIONATA + DPC</w:t>
            </w:r>
          </w:p>
        </w:tc>
        <w:tc>
          <w:tcPr>
            <w:tcW w:w="136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rPr>
                <w:rFonts w:asciiTheme="minorHAnsi" w:hAnsiTheme="minorHAnsi" w:cstheme="minorHAnsi"/>
                <w:b/>
                <w:bCs/>
              </w:rPr>
            </w:pPr>
          </w:p>
        </w:tc>
        <w:tc>
          <w:tcPr>
            <w:tcW w:w="282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rPr>
                <w:rFonts w:asciiTheme="minorHAnsi" w:hAnsiTheme="minorHAnsi" w:cstheme="minorHAnsi"/>
                <w:b/>
                <w:bCs/>
              </w:rPr>
            </w:pPr>
            <w:r w:rsidRPr="00784279">
              <w:rPr>
                <w:rFonts w:asciiTheme="minorHAnsi" w:hAnsiTheme="minorHAnsi" w:cstheme="minorHAnsi"/>
                <w:b/>
                <w:bCs/>
              </w:rPr>
              <w:t>153€/pro capite</w:t>
            </w:r>
          </w:p>
        </w:tc>
      </w:tr>
      <w:tr w:rsidR="00230DA6" w:rsidRPr="00784279" w:rsidTr="00126493">
        <w:trPr>
          <w:trHeight w:val="288"/>
        </w:trPr>
        <w:tc>
          <w:tcPr>
            <w:tcW w:w="6200" w:type="dxa"/>
            <w:tcBorders>
              <w:top w:val="nil"/>
              <w:left w:val="nil"/>
              <w:bottom w:val="nil"/>
              <w:right w:val="nil"/>
            </w:tcBorders>
            <w:shd w:val="clear" w:color="auto" w:fill="auto"/>
            <w:noWrap/>
            <w:vAlign w:val="bottom"/>
            <w:hideMark/>
          </w:tcPr>
          <w:p w:rsidR="00230DA6" w:rsidRPr="00230DA6" w:rsidRDefault="00230DA6" w:rsidP="00230DA6">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Spesa pro capite 2015, al netto dei farmaci antiemofilici in DPC</w:t>
            </w:r>
          </w:p>
          <w:p w:rsidR="00230DA6" w:rsidRPr="00784279" w:rsidRDefault="00230DA6" w:rsidP="00230DA6">
            <w:pPr>
              <w:spacing w:line="360" w:lineRule="auto"/>
              <w:jc w:val="both"/>
              <w:rPr>
                <w:rFonts w:asciiTheme="minorHAnsi" w:hAnsiTheme="minorHAnsi" w:cstheme="minorHAnsi"/>
              </w:rPr>
            </w:pPr>
            <w:r w:rsidRPr="00230DA6">
              <w:rPr>
                <w:rFonts w:ascii="Garamond" w:eastAsia="Times New Roman" w:hAnsi="Garamond"/>
                <w:color w:val="000000"/>
                <w:sz w:val="24"/>
                <w:szCs w:val="24"/>
                <w:lang w:eastAsia="it-IT"/>
              </w:rPr>
              <w:t xml:space="preserve">Obiettivo </w:t>
            </w:r>
            <w:r w:rsidRPr="0063084C">
              <w:rPr>
                <w:rFonts w:ascii="Garamond" w:eastAsia="Times New Roman" w:hAnsi="Garamond"/>
                <w:color w:val="000000"/>
                <w:sz w:val="24"/>
                <w:szCs w:val="24"/>
                <w:u w:val="single"/>
                <w:lang w:eastAsia="it-IT"/>
              </w:rPr>
              <w:t>raggiunto 152,94 euro pro capite</w:t>
            </w:r>
            <w:r w:rsidRPr="00784279">
              <w:rPr>
                <w:rFonts w:asciiTheme="minorHAnsi" w:hAnsiTheme="minorHAnsi" w:cstheme="minorHAnsi"/>
              </w:rPr>
              <w:t xml:space="preserve"> </w:t>
            </w:r>
          </w:p>
        </w:tc>
        <w:tc>
          <w:tcPr>
            <w:tcW w:w="136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rPr>
                <w:rFonts w:asciiTheme="minorHAnsi" w:hAnsiTheme="minorHAnsi" w:cstheme="minorHAnsi"/>
              </w:rPr>
            </w:pPr>
          </w:p>
        </w:tc>
        <w:tc>
          <w:tcPr>
            <w:tcW w:w="282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jc w:val="right"/>
              <w:rPr>
                <w:rFonts w:asciiTheme="minorHAnsi" w:hAnsiTheme="minorHAnsi" w:cstheme="minorHAnsi"/>
                <w:b/>
                <w:bCs/>
              </w:rPr>
            </w:pPr>
          </w:p>
        </w:tc>
      </w:tr>
      <w:tr w:rsidR="00230DA6" w:rsidRPr="00784279" w:rsidTr="00126493">
        <w:trPr>
          <w:trHeight w:val="264"/>
        </w:trPr>
        <w:tc>
          <w:tcPr>
            <w:tcW w:w="620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jc w:val="right"/>
              <w:rPr>
                <w:rFonts w:asciiTheme="minorHAnsi" w:hAnsiTheme="minorHAnsi" w:cstheme="minorHAnsi"/>
                <w:b/>
                <w:bCs/>
              </w:rPr>
            </w:pPr>
          </w:p>
        </w:tc>
        <w:tc>
          <w:tcPr>
            <w:tcW w:w="136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rPr>
                <w:rFonts w:asciiTheme="minorHAnsi" w:hAnsiTheme="minorHAnsi" w:cstheme="minorHAnsi"/>
              </w:rPr>
            </w:pPr>
          </w:p>
        </w:tc>
        <w:tc>
          <w:tcPr>
            <w:tcW w:w="282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rPr>
                <w:rFonts w:asciiTheme="minorHAnsi" w:hAnsiTheme="minorHAnsi" w:cstheme="minorHAnsi"/>
              </w:rPr>
            </w:pPr>
          </w:p>
        </w:tc>
      </w:tr>
      <w:tr w:rsidR="00230DA6" w:rsidRPr="00784279" w:rsidTr="00126493">
        <w:trPr>
          <w:trHeight w:val="264"/>
        </w:trPr>
        <w:tc>
          <w:tcPr>
            <w:tcW w:w="620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rPr>
                <w:rFonts w:asciiTheme="minorHAnsi" w:hAnsiTheme="minorHAnsi" w:cstheme="minorHAnsi"/>
              </w:rPr>
            </w:pPr>
          </w:p>
        </w:tc>
        <w:tc>
          <w:tcPr>
            <w:tcW w:w="136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rPr>
                <w:rFonts w:asciiTheme="minorHAnsi" w:hAnsiTheme="minorHAnsi" w:cstheme="minorHAnsi"/>
              </w:rPr>
            </w:pPr>
          </w:p>
        </w:tc>
        <w:tc>
          <w:tcPr>
            <w:tcW w:w="282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rPr>
                <w:rFonts w:asciiTheme="minorHAnsi" w:hAnsiTheme="minorHAnsi" w:cstheme="minorHAnsi"/>
                <w:b/>
                <w:bCs/>
              </w:rPr>
            </w:pPr>
            <w:r w:rsidRPr="00784279">
              <w:rPr>
                <w:rFonts w:asciiTheme="minorHAnsi" w:hAnsiTheme="minorHAnsi" w:cstheme="minorHAnsi"/>
                <w:b/>
                <w:bCs/>
              </w:rPr>
              <w:t>Obiettivo</w:t>
            </w:r>
          </w:p>
        </w:tc>
      </w:tr>
      <w:tr w:rsidR="00230DA6" w:rsidRPr="00784279" w:rsidTr="00126493">
        <w:trPr>
          <w:trHeight w:val="264"/>
        </w:trPr>
        <w:tc>
          <w:tcPr>
            <w:tcW w:w="620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rPr>
                <w:rFonts w:asciiTheme="minorHAnsi" w:hAnsiTheme="minorHAnsi" w:cstheme="minorHAnsi"/>
                <w:b/>
                <w:bCs/>
              </w:rPr>
            </w:pPr>
            <w:r w:rsidRPr="00784279">
              <w:rPr>
                <w:rFonts w:asciiTheme="minorHAnsi" w:hAnsiTheme="minorHAnsi" w:cstheme="minorHAnsi"/>
                <w:b/>
                <w:bCs/>
              </w:rPr>
              <w:t>TERRITORIALE DIRETTA</w:t>
            </w:r>
          </w:p>
        </w:tc>
        <w:tc>
          <w:tcPr>
            <w:tcW w:w="136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rPr>
                <w:rFonts w:asciiTheme="minorHAnsi" w:hAnsiTheme="minorHAnsi" w:cstheme="minorHAnsi"/>
                <w:b/>
                <w:bCs/>
              </w:rPr>
            </w:pPr>
          </w:p>
        </w:tc>
        <w:tc>
          <w:tcPr>
            <w:tcW w:w="282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rPr>
                <w:rFonts w:asciiTheme="minorHAnsi" w:hAnsiTheme="minorHAnsi" w:cstheme="minorHAnsi"/>
                <w:b/>
                <w:bCs/>
              </w:rPr>
            </w:pPr>
            <w:r w:rsidRPr="00784279">
              <w:rPr>
                <w:rFonts w:asciiTheme="minorHAnsi" w:hAnsiTheme="minorHAnsi" w:cstheme="minorHAnsi"/>
                <w:b/>
                <w:bCs/>
              </w:rPr>
              <w:t>48€/pro capite</w:t>
            </w:r>
          </w:p>
        </w:tc>
      </w:tr>
      <w:tr w:rsidR="00230DA6" w:rsidRPr="00784279" w:rsidTr="00126493">
        <w:trPr>
          <w:trHeight w:val="288"/>
        </w:trPr>
        <w:tc>
          <w:tcPr>
            <w:tcW w:w="6200" w:type="dxa"/>
            <w:tcBorders>
              <w:top w:val="nil"/>
              <w:left w:val="nil"/>
              <w:bottom w:val="nil"/>
              <w:right w:val="nil"/>
            </w:tcBorders>
            <w:shd w:val="clear" w:color="auto" w:fill="auto"/>
            <w:noWrap/>
            <w:vAlign w:val="bottom"/>
            <w:hideMark/>
          </w:tcPr>
          <w:p w:rsidR="00230DA6" w:rsidRPr="00230DA6" w:rsidRDefault="00230DA6" w:rsidP="00126493">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Spesa pro capite 2015, esclusi i farmaci per l’HCV:</w:t>
            </w:r>
          </w:p>
          <w:p w:rsidR="00230DA6" w:rsidRPr="00784279" w:rsidRDefault="00230DA6" w:rsidP="00126493">
            <w:pPr>
              <w:spacing w:line="360" w:lineRule="auto"/>
              <w:jc w:val="both"/>
              <w:rPr>
                <w:rFonts w:asciiTheme="minorHAnsi" w:hAnsiTheme="minorHAnsi" w:cstheme="minorHAnsi"/>
              </w:rPr>
            </w:pPr>
            <w:r w:rsidRPr="00230DA6">
              <w:rPr>
                <w:rFonts w:ascii="Garamond" w:eastAsia="Times New Roman" w:hAnsi="Garamond"/>
                <w:color w:val="000000"/>
                <w:sz w:val="24"/>
                <w:szCs w:val="24"/>
                <w:lang w:eastAsia="it-IT"/>
              </w:rPr>
              <w:t xml:space="preserve">obiettivo </w:t>
            </w:r>
            <w:r w:rsidRPr="0063084C">
              <w:rPr>
                <w:rFonts w:ascii="Garamond" w:eastAsia="Times New Roman" w:hAnsi="Garamond"/>
                <w:color w:val="000000"/>
                <w:sz w:val="24"/>
                <w:szCs w:val="24"/>
                <w:u w:val="single"/>
                <w:lang w:eastAsia="it-IT"/>
              </w:rPr>
              <w:t>raggiunto 47,68 euro pro capite</w:t>
            </w:r>
          </w:p>
        </w:tc>
        <w:tc>
          <w:tcPr>
            <w:tcW w:w="136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jc w:val="both"/>
              <w:rPr>
                <w:rFonts w:asciiTheme="minorHAnsi" w:hAnsiTheme="minorHAnsi" w:cstheme="minorHAnsi"/>
              </w:rPr>
            </w:pPr>
          </w:p>
        </w:tc>
        <w:tc>
          <w:tcPr>
            <w:tcW w:w="2820" w:type="dxa"/>
            <w:tcBorders>
              <w:top w:val="nil"/>
              <w:left w:val="nil"/>
              <w:bottom w:val="nil"/>
              <w:right w:val="nil"/>
            </w:tcBorders>
            <w:shd w:val="clear" w:color="auto" w:fill="auto"/>
            <w:noWrap/>
            <w:vAlign w:val="bottom"/>
            <w:hideMark/>
          </w:tcPr>
          <w:p w:rsidR="00230DA6" w:rsidRPr="00784279" w:rsidRDefault="00230DA6" w:rsidP="00126493">
            <w:pPr>
              <w:spacing w:line="360" w:lineRule="auto"/>
              <w:jc w:val="right"/>
              <w:rPr>
                <w:rFonts w:asciiTheme="minorHAnsi" w:hAnsiTheme="minorHAnsi" w:cstheme="minorHAnsi"/>
                <w:b/>
                <w:bCs/>
              </w:rPr>
            </w:pPr>
          </w:p>
        </w:tc>
      </w:tr>
    </w:tbl>
    <w:p w:rsidR="0063084C" w:rsidRDefault="0063084C" w:rsidP="00230DA6">
      <w:pPr>
        <w:spacing w:line="360" w:lineRule="auto"/>
        <w:jc w:val="both"/>
        <w:rPr>
          <w:rFonts w:ascii="Garamond" w:eastAsia="Times New Roman" w:hAnsi="Garamond"/>
          <w:color w:val="000000"/>
          <w:sz w:val="24"/>
          <w:szCs w:val="24"/>
          <w:lang w:eastAsia="it-IT"/>
        </w:rPr>
      </w:pPr>
    </w:p>
    <w:p w:rsidR="00230DA6" w:rsidRPr="00230DA6" w:rsidRDefault="00230DA6" w:rsidP="00230DA6">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 xml:space="preserve">La spesa farmaceutica convenzionata in valore assoluto si attesta a bilancio ad € 43.908.729, cioè  in diminuzione sul 2014 coerentemente con le indicazioni regionali e con il nuovo sistema di finanziamento 2015 dell’azienda; il fenomeno si compensa con l’aumento dei  costi della farmaceutica erogati in DPC (distribuzione per conto) e quindi con il progressivo aumento di attività attraverso questo canale di distribuzione, che per il 2015 vale € 9.682.506. </w:t>
      </w:r>
    </w:p>
    <w:p w:rsidR="00230DA6" w:rsidRPr="00230DA6" w:rsidRDefault="00230DA6" w:rsidP="00230DA6">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lastRenderedPageBreak/>
        <w:t>Emofilia: a parte il trend di spesa in crescita per le cure a diversi pazienti emofilici rispetto al 2014, per il trattamento d</w:t>
      </w:r>
      <w:r w:rsidR="00F75AAC">
        <w:rPr>
          <w:rFonts w:ascii="Garamond" w:eastAsia="Times New Roman" w:hAnsi="Garamond"/>
          <w:color w:val="000000"/>
          <w:sz w:val="24"/>
          <w:szCs w:val="24"/>
          <w:lang w:eastAsia="it-IT"/>
        </w:rPr>
        <w:t>i un</w:t>
      </w:r>
      <w:r w:rsidRPr="00230DA6">
        <w:rPr>
          <w:rFonts w:ascii="Garamond" w:eastAsia="Times New Roman" w:hAnsi="Garamond"/>
          <w:color w:val="000000"/>
          <w:sz w:val="24"/>
          <w:szCs w:val="24"/>
          <w:lang w:eastAsia="it-IT"/>
        </w:rPr>
        <w:t xml:space="preserve"> paziente emofilico, era stato stimato sul bilancio preventivo solo un periodo di 6 mesi ad alto dosaggio di farmaci, circostanza che si è rivelata sottostimata. </w:t>
      </w:r>
    </w:p>
    <w:p w:rsidR="00F75AAC" w:rsidRPr="00F75AAC" w:rsidRDefault="00F75AAC" w:rsidP="00230DA6">
      <w:pPr>
        <w:spacing w:line="360" w:lineRule="auto"/>
        <w:jc w:val="both"/>
        <w:rPr>
          <w:rFonts w:asciiTheme="minorHAnsi" w:hAnsiTheme="minorHAnsi" w:cstheme="minorHAnsi"/>
          <w:b/>
          <w:u w:val="single"/>
        </w:rPr>
      </w:pPr>
      <w:r w:rsidRPr="00F75AAC">
        <w:rPr>
          <w:rFonts w:asciiTheme="minorHAnsi" w:hAnsiTheme="minorHAnsi" w:cstheme="minorHAnsi"/>
          <w:b/>
          <w:u w:val="single"/>
        </w:rPr>
        <w:t>FARMACEUTICA OSPEDALIERA</w:t>
      </w:r>
    </w:p>
    <w:p w:rsidR="00B670E2" w:rsidRPr="00230DA6" w:rsidRDefault="00B670E2" w:rsidP="00B670E2">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Rispetto al valore di riferimento 2014 di 14.780.590 il costo consuntivato è di 15.860.435, con uno scostamento di 1.079.845 euro</w:t>
      </w:r>
    </w:p>
    <w:p w:rsidR="00B670E2" w:rsidRPr="00230DA6" w:rsidRDefault="00B670E2" w:rsidP="00B670E2">
      <w:pPr>
        <w:spacing w:line="360" w:lineRule="auto"/>
        <w:jc w:val="both"/>
        <w:rPr>
          <w:rFonts w:ascii="Garamond" w:eastAsia="Times New Roman" w:hAnsi="Garamond"/>
          <w:color w:val="000000"/>
          <w:sz w:val="24"/>
          <w:szCs w:val="24"/>
          <w:lang w:eastAsia="it-IT"/>
        </w:rPr>
      </w:pPr>
      <w:r>
        <w:rPr>
          <w:rFonts w:ascii="Garamond" w:eastAsia="Times New Roman" w:hAnsi="Garamond"/>
          <w:color w:val="000000"/>
          <w:sz w:val="24"/>
          <w:szCs w:val="24"/>
          <w:lang w:eastAsia="it-IT"/>
        </w:rPr>
        <w:t xml:space="preserve">Durante l’anno, nonostante </w:t>
      </w:r>
      <w:r w:rsidRPr="00230DA6">
        <w:rPr>
          <w:rFonts w:ascii="Garamond" w:eastAsia="Times New Roman" w:hAnsi="Garamond"/>
          <w:color w:val="000000"/>
          <w:sz w:val="24"/>
          <w:szCs w:val="24"/>
          <w:lang w:eastAsia="it-IT"/>
        </w:rPr>
        <w:t xml:space="preserve">il monitoraggio continuo su tale fattore critico di spesa e per quanto possibile il maggior utilizzo dei farmaci </w:t>
      </w:r>
      <w:proofErr w:type="spellStart"/>
      <w:r w:rsidRPr="00230DA6">
        <w:rPr>
          <w:rFonts w:ascii="Garamond" w:eastAsia="Times New Roman" w:hAnsi="Garamond"/>
          <w:color w:val="000000"/>
          <w:sz w:val="24"/>
          <w:szCs w:val="24"/>
          <w:lang w:eastAsia="it-IT"/>
        </w:rPr>
        <w:t>biosimilari</w:t>
      </w:r>
      <w:proofErr w:type="spellEnd"/>
      <w:r w:rsidRPr="00230DA6">
        <w:rPr>
          <w:rFonts w:ascii="Garamond" w:eastAsia="Times New Roman" w:hAnsi="Garamond"/>
          <w:color w:val="000000"/>
          <w:sz w:val="24"/>
          <w:szCs w:val="24"/>
          <w:lang w:eastAsia="it-IT"/>
        </w:rPr>
        <w:t xml:space="preserve"> soprattutto in ambito oncologico, si sono registrati maggiori costi, segnalati periodicamente nei rendiconti trimestrali, in relazione al trattamento di pazienti con malattie rare, e farmaci H impiegati nella cura della sclerosi multipla e di particolari patologie oncologiche.</w:t>
      </w:r>
    </w:p>
    <w:p w:rsidR="00B670E2" w:rsidRPr="00B670E2" w:rsidRDefault="00F75AAC" w:rsidP="00B670E2">
      <w:pPr>
        <w:spacing w:line="360" w:lineRule="auto"/>
        <w:jc w:val="both"/>
        <w:rPr>
          <w:rFonts w:ascii="Garamond" w:eastAsia="Times New Roman" w:hAnsi="Garamond"/>
          <w:color w:val="000000"/>
          <w:sz w:val="24"/>
          <w:szCs w:val="24"/>
          <w:lang w:eastAsia="it-IT"/>
        </w:rPr>
      </w:pPr>
      <w:r>
        <w:rPr>
          <w:rFonts w:ascii="Garamond" w:eastAsia="Times New Roman" w:hAnsi="Garamond"/>
          <w:color w:val="000000"/>
          <w:sz w:val="24"/>
          <w:szCs w:val="24"/>
          <w:lang w:eastAsia="it-IT"/>
        </w:rPr>
        <w:t>I</w:t>
      </w:r>
      <w:r w:rsidR="00230DA6" w:rsidRPr="00230DA6">
        <w:rPr>
          <w:rFonts w:ascii="Garamond" w:eastAsia="Times New Roman" w:hAnsi="Garamond"/>
          <w:color w:val="000000"/>
          <w:sz w:val="24"/>
          <w:szCs w:val="24"/>
          <w:lang w:eastAsia="it-IT"/>
        </w:rPr>
        <w:t>l rispetto del vincolo</w:t>
      </w:r>
      <w:r w:rsidR="00B670E2">
        <w:rPr>
          <w:rFonts w:ascii="Garamond" w:eastAsia="Times New Roman" w:hAnsi="Garamond"/>
          <w:color w:val="000000"/>
          <w:sz w:val="24"/>
          <w:szCs w:val="24"/>
          <w:lang w:eastAsia="it-IT"/>
        </w:rPr>
        <w:t xml:space="preserve"> come assegnato inizialmente</w:t>
      </w:r>
      <w:r w:rsidR="00230DA6" w:rsidRPr="00230DA6">
        <w:rPr>
          <w:rFonts w:ascii="Garamond" w:eastAsia="Times New Roman" w:hAnsi="Garamond"/>
          <w:color w:val="000000"/>
          <w:sz w:val="24"/>
          <w:szCs w:val="24"/>
          <w:lang w:eastAsia="it-IT"/>
        </w:rPr>
        <w:t xml:space="preserve"> (costo della sola componente ospedaliera 2014 meno 2</w:t>
      </w:r>
      <w:r w:rsidR="00B670E2">
        <w:rPr>
          <w:rFonts w:ascii="Garamond" w:eastAsia="Times New Roman" w:hAnsi="Garamond"/>
          <w:color w:val="000000"/>
          <w:sz w:val="24"/>
          <w:szCs w:val="24"/>
          <w:lang w:eastAsia="it-IT"/>
        </w:rPr>
        <w:t xml:space="preserve">%) </w:t>
      </w:r>
      <w:r w:rsidR="00230DA6" w:rsidRPr="00230DA6">
        <w:rPr>
          <w:rFonts w:ascii="Garamond" w:eastAsia="Times New Roman" w:hAnsi="Garamond"/>
          <w:color w:val="000000"/>
          <w:sz w:val="24"/>
          <w:szCs w:val="24"/>
          <w:lang w:eastAsia="it-IT"/>
        </w:rPr>
        <w:t>non è stato raggiun</w:t>
      </w:r>
      <w:r w:rsidR="00B670E2">
        <w:rPr>
          <w:rFonts w:ascii="Garamond" w:eastAsia="Times New Roman" w:hAnsi="Garamond"/>
          <w:color w:val="000000"/>
          <w:sz w:val="24"/>
          <w:szCs w:val="24"/>
          <w:lang w:eastAsia="it-IT"/>
        </w:rPr>
        <w:t xml:space="preserve">to, ma l’attribuzione di ulteriori finanziamenti senza modifica dei vincoli </w:t>
      </w:r>
      <w:r w:rsidR="00B670E2" w:rsidRPr="00B670E2">
        <w:rPr>
          <w:rFonts w:ascii="Garamond" w:eastAsia="Times New Roman" w:hAnsi="Garamond"/>
          <w:color w:val="000000"/>
          <w:sz w:val="24"/>
          <w:szCs w:val="24"/>
          <w:lang w:eastAsia="it-IT"/>
        </w:rPr>
        <w:t>ha di fatto reso “compatibili” anche eventuali sfondamenti del budget assegnato.</w:t>
      </w:r>
    </w:p>
    <w:p w:rsidR="00F75AAC" w:rsidRPr="00F75AAC" w:rsidRDefault="00F75AAC" w:rsidP="00230DA6">
      <w:pPr>
        <w:spacing w:line="360" w:lineRule="auto"/>
        <w:jc w:val="both"/>
        <w:rPr>
          <w:rFonts w:asciiTheme="minorHAnsi" w:hAnsiTheme="minorHAnsi" w:cstheme="minorHAnsi"/>
          <w:b/>
          <w:u w:val="single"/>
        </w:rPr>
      </w:pPr>
      <w:r w:rsidRPr="00F75AAC">
        <w:rPr>
          <w:rFonts w:asciiTheme="minorHAnsi" w:hAnsiTheme="minorHAnsi" w:cstheme="minorHAnsi"/>
          <w:b/>
          <w:u w:val="single"/>
        </w:rPr>
        <w:t xml:space="preserve">DISPOSITIVI MEDICI </w:t>
      </w:r>
    </w:p>
    <w:p w:rsidR="00230DA6" w:rsidRDefault="00230DA6" w:rsidP="00230DA6">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 xml:space="preserve">Sui dispositivi medici la AAS5 non era assoggettata a vincolo specifico, essendo in linea con gli standard </w:t>
      </w:r>
      <w:proofErr w:type="spellStart"/>
      <w:r w:rsidRPr="00230DA6">
        <w:rPr>
          <w:rFonts w:ascii="Garamond" w:eastAsia="Times New Roman" w:hAnsi="Garamond"/>
          <w:color w:val="000000"/>
          <w:sz w:val="24"/>
          <w:szCs w:val="24"/>
          <w:lang w:eastAsia="it-IT"/>
        </w:rPr>
        <w:t>N.I.</w:t>
      </w:r>
      <w:proofErr w:type="spellEnd"/>
      <w:r w:rsidRPr="00230DA6">
        <w:rPr>
          <w:rFonts w:ascii="Garamond" w:eastAsia="Times New Roman" w:hAnsi="Garamond"/>
          <w:color w:val="000000"/>
          <w:sz w:val="24"/>
          <w:szCs w:val="24"/>
          <w:lang w:eastAsia="it-IT"/>
        </w:rPr>
        <w:t xml:space="preserve"> San. Rispetto al tendenziale mantenimento dei costi sulle voci dei dispositivi medici che si voleva comunque raggiungere, i costi consuntivi sono risultati in diminuzione. </w:t>
      </w:r>
    </w:p>
    <w:p w:rsidR="00230DA6" w:rsidRPr="00784279" w:rsidRDefault="00230DA6" w:rsidP="00230DA6">
      <w:pPr>
        <w:spacing w:line="360" w:lineRule="auto"/>
        <w:jc w:val="both"/>
        <w:rPr>
          <w:rFonts w:asciiTheme="minorHAnsi" w:hAnsiTheme="minorHAnsi" w:cstheme="minorHAnsi"/>
          <w:b/>
          <w:u w:val="single"/>
        </w:rPr>
      </w:pPr>
      <w:r w:rsidRPr="00784279">
        <w:rPr>
          <w:rFonts w:asciiTheme="minorHAnsi" w:hAnsiTheme="minorHAnsi" w:cstheme="minorHAnsi"/>
          <w:b/>
          <w:u w:val="single"/>
        </w:rPr>
        <w:t>MANUTENZIONI ORDINARIE EDILI IMPIANTISTICHE</w:t>
      </w:r>
    </w:p>
    <w:p w:rsidR="00230DA6" w:rsidRPr="00230DA6" w:rsidRDefault="00230DA6" w:rsidP="00230DA6">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Da vincolo operativo il costo 2015 deve essere pari al costo 2014; l'obiettivo risulta ampiamente rispettato  sui due conti da considerare, con una riduzione complessiva di  € 304.688,34.</w:t>
      </w:r>
    </w:p>
    <w:p w:rsidR="00230DA6" w:rsidRPr="00230DA6" w:rsidRDefault="00230DA6" w:rsidP="00DA685E">
      <w:pPr>
        <w:spacing w:after="0"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Dal consuntivo si rilevano infatti i conti:</w:t>
      </w:r>
    </w:p>
    <w:p w:rsidR="00230DA6" w:rsidRPr="00DA685E" w:rsidRDefault="00230DA6" w:rsidP="00DA685E">
      <w:pPr>
        <w:pStyle w:val="Paragrafoelenco"/>
        <w:numPr>
          <w:ilvl w:val="0"/>
          <w:numId w:val="45"/>
        </w:numPr>
        <w:spacing w:line="360" w:lineRule="auto"/>
        <w:jc w:val="both"/>
        <w:rPr>
          <w:rFonts w:ascii="Garamond" w:hAnsi="Garamond"/>
          <w:color w:val="000000"/>
          <w:lang w:eastAsia="it-IT"/>
        </w:rPr>
      </w:pPr>
      <w:r w:rsidRPr="00DA685E">
        <w:rPr>
          <w:rFonts w:ascii="Garamond" w:hAnsi="Garamond"/>
          <w:color w:val="000000"/>
          <w:lang w:eastAsia="it-IT"/>
        </w:rPr>
        <w:t xml:space="preserve">310.100 Manutenzioni a fabbricati € 1.058.588, contro il consuntivo 2014 di € 1.520.259,30, con un minore costo rispetto al vincolo di 461.670,57 ; </w:t>
      </w:r>
    </w:p>
    <w:p w:rsidR="00230DA6" w:rsidRPr="00DA685E" w:rsidRDefault="00230DA6" w:rsidP="00DA685E">
      <w:pPr>
        <w:pStyle w:val="Paragrafoelenco"/>
        <w:numPr>
          <w:ilvl w:val="0"/>
          <w:numId w:val="45"/>
        </w:numPr>
        <w:spacing w:line="360" w:lineRule="auto"/>
        <w:jc w:val="both"/>
        <w:rPr>
          <w:rFonts w:ascii="Garamond" w:hAnsi="Garamond"/>
          <w:color w:val="000000"/>
          <w:lang w:eastAsia="it-IT"/>
        </w:rPr>
      </w:pPr>
      <w:r w:rsidRPr="00DA685E">
        <w:rPr>
          <w:rFonts w:ascii="Garamond" w:hAnsi="Garamond"/>
          <w:color w:val="000000"/>
          <w:lang w:eastAsia="it-IT"/>
        </w:rPr>
        <w:t>310.200.200 Impiantistica varia € 2.571.862,80 contro il consuntivo 2014 di 2.414.880,57, variazione di € 156.982,23.</w:t>
      </w:r>
    </w:p>
    <w:p w:rsidR="00DA685E" w:rsidRDefault="00DA685E" w:rsidP="00230DA6">
      <w:pPr>
        <w:spacing w:line="360" w:lineRule="auto"/>
        <w:jc w:val="both"/>
        <w:rPr>
          <w:rFonts w:asciiTheme="minorHAnsi" w:hAnsiTheme="minorHAnsi" w:cstheme="minorHAnsi"/>
          <w:b/>
          <w:u w:val="single"/>
        </w:rPr>
      </w:pPr>
    </w:p>
    <w:p w:rsidR="00230DA6" w:rsidRPr="00784279" w:rsidRDefault="00230DA6" w:rsidP="00230DA6">
      <w:pPr>
        <w:spacing w:line="360" w:lineRule="auto"/>
        <w:jc w:val="both"/>
        <w:rPr>
          <w:rFonts w:asciiTheme="minorHAnsi" w:hAnsiTheme="minorHAnsi" w:cstheme="minorHAnsi"/>
          <w:b/>
          <w:u w:val="single"/>
        </w:rPr>
      </w:pPr>
      <w:r w:rsidRPr="00784279">
        <w:rPr>
          <w:rFonts w:asciiTheme="minorHAnsi" w:hAnsiTheme="minorHAnsi" w:cstheme="minorHAnsi"/>
          <w:b/>
          <w:u w:val="single"/>
        </w:rPr>
        <w:t>PERSONALE DIPENDENTE</w:t>
      </w:r>
    </w:p>
    <w:p w:rsidR="00230DA6" w:rsidRPr="00230DA6" w:rsidRDefault="00230DA6" w:rsidP="00230DA6">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 xml:space="preserve">Il vincolo esplicitato come costo competenze fisse 2012 meno 1% è stato rispettato. </w:t>
      </w:r>
    </w:p>
    <w:p w:rsidR="00A910B4" w:rsidRPr="00230DA6" w:rsidRDefault="00DA685E" w:rsidP="00230DA6">
      <w:pPr>
        <w:spacing w:line="360" w:lineRule="auto"/>
        <w:jc w:val="both"/>
        <w:rPr>
          <w:rFonts w:ascii="Garamond" w:eastAsia="Times New Roman" w:hAnsi="Garamond"/>
          <w:color w:val="000000"/>
          <w:sz w:val="24"/>
          <w:szCs w:val="24"/>
          <w:lang w:eastAsia="it-IT"/>
        </w:rPr>
      </w:pPr>
      <w:r>
        <w:rPr>
          <w:rFonts w:ascii="Garamond" w:eastAsia="Times New Roman" w:hAnsi="Garamond"/>
          <w:color w:val="000000"/>
          <w:sz w:val="24"/>
          <w:szCs w:val="24"/>
          <w:lang w:eastAsia="it-IT"/>
        </w:rPr>
        <w:lastRenderedPageBreak/>
        <w:t xml:space="preserve">Nel calcolo </w:t>
      </w:r>
      <w:r w:rsidR="00230DA6" w:rsidRPr="00230DA6">
        <w:rPr>
          <w:rFonts w:ascii="Garamond" w:eastAsia="Times New Roman" w:hAnsi="Garamond"/>
          <w:color w:val="000000"/>
          <w:sz w:val="24"/>
          <w:szCs w:val="24"/>
          <w:lang w:eastAsia="it-IT"/>
        </w:rPr>
        <w:t xml:space="preserve">vanno </w:t>
      </w:r>
      <w:r>
        <w:rPr>
          <w:rFonts w:ascii="Garamond" w:eastAsia="Times New Roman" w:hAnsi="Garamond"/>
          <w:color w:val="000000"/>
          <w:sz w:val="24"/>
          <w:szCs w:val="24"/>
          <w:lang w:eastAsia="it-IT"/>
        </w:rPr>
        <w:t>escluse</w:t>
      </w:r>
      <w:r w:rsidR="00230DA6" w:rsidRPr="00230DA6">
        <w:rPr>
          <w:rFonts w:ascii="Garamond" w:eastAsia="Times New Roman" w:hAnsi="Garamond"/>
          <w:color w:val="000000"/>
          <w:sz w:val="24"/>
          <w:szCs w:val="24"/>
          <w:lang w:eastAsia="it-IT"/>
        </w:rPr>
        <w:t xml:space="preserve"> le deroghe che la Direzione centrale ha autorizzato, in ordine all’indennità di esclusività, costi per il personale comandato out e i costi sostenuti per il piano di superamento ospedali psichiatrici</w:t>
      </w:r>
      <w:r>
        <w:rPr>
          <w:rFonts w:ascii="Garamond" w:eastAsia="Times New Roman" w:hAnsi="Garamond"/>
          <w:color w:val="000000"/>
          <w:sz w:val="24"/>
          <w:szCs w:val="24"/>
          <w:lang w:eastAsia="it-IT"/>
        </w:rPr>
        <w:t>.</w:t>
      </w:r>
    </w:p>
    <w:p w:rsidR="00230DA6" w:rsidRPr="00784279" w:rsidRDefault="00230DA6" w:rsidP="00230DA6">
      <w:pPr>
        <w:spacing w:line="360" w:lineRule="auto"/>
        <w:jc w:val="both"/>
        <w:rPr>
          <w:rFonts w:asciiTheme="minorHAnsi" w:hAnsiTheme="minorHAnsi" w:cstheme="minorHAnsi"/>
          <w:b/>
        </w:rPr>
      </w:pPr>
      <w:r w:rsidRPr="00784279">
        <w:rPr>
          <w:rFonts w:asciiTheme="minorHAnsi" w:hAnsiTheme="minorHAnsi" w:cstheme="minorHAnsi"/>
          <w:b/>
        </w:rPr>
        <w:t xml:space="preserve">VALORE della PRODUZIONE </w:t>
      </w:r>
    </w:p>
    <w:p w:rsidR="00230DA6" w:rsidRPr="00230DA6" w:rsidRDefault="00230DA6" w:rsidP="00230DA6">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 xml:space="preserve">Le variazioni più significative rispetto al preventivo 2015 sono dovute alle integrazioni del finanziamento di cui alle delibere di Giunta regionale n. 1871/15 e n. 2434/15, iscritte al conto di bilancio “quota </w:t>
      </w:r>
      <w:proofErr w:type="spellStart"/>
      <w:r w:rsidRPr="00230DA6">
        <w:rPr>
          <w:rFonts w:ascii="Garamond" w:eastAsia="Times New Roman" w:hAnsi="Garamond"/>
          <w:color w:val="000000"/>
          <w:sz w:val="24"/>
          <w:szCs w:val="24"/>
          <w:lang w:eastAsia="it-IT"/>
        </w:rPr>
        <w:t>capitaria</w:t>
      </w:r>
      <w:proofErr w:type="spellEnd"/>
      <w:r w:rsidRPr="00230DA6">
        <w:rPr>
          <w:rFonts w:ascii="Garamond" w:eastAsia="Times New Roman" w:hAnsi="Garamond"/>
          <w:color w:val="000000"/>
          <w:sz w:val="24"/>
          <w:szCs w:val="24"/>
          <w:lang w:eastAsia="it-IT"/>
        </w:rPr>
        <w:t>” sommandosi al finanziamento iniziale.</w:t>
      </w:r>
    </w:p>
    <w:p w:rsidR="00230DA6" w:rsidRPr="00230DA6" w:rsidRDefault="00230DA6" w:rsidP="00230DA6">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 xml:space="preserve">Sullo stesso conto si registra la variazione in diminuzione per il contributo delle attività socio assistenziali finalizzate, iscritte inizialmente a preventivo e a pareggio tra i costi per contributi ad enti, (€ 1.566.000) e in seguito al consolidato preventivo regionale del servizio sanitario regionale, ripristinate quasi interamente all’interno del bilancio della Regione (per € 1.041.000)  </w:t>
      </w:r>
    </w:p>
    <w:p w:rsidR="00230DA6" w:rsidRPr="00230DA6" w:rsidRDefault="00230DA6" w:rsidP="00230DA6">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 xml:space="preserve">Rispetto alla mobilità regionale 2014 ed alle regole di finanziamento delle cessate Aziende nello scorso esercizio, il finanziamento dell’AAS5 è attribuito come quota </w:t>
      </w:r>
      <w:proofErr w:type="spellStart"/>
      <w:r w:rsidRPr="00230DA6">
        <w:rPr>
          <w:rFonts w:ascii="Garamond" w:eastAsia="Times New Roman" w:hAnsi="Garamond"/>
          <w:color w:val="000000"/>
          <w:sz w:val="24"/>
          <w:szCs w:val="24"/>
          <w:lang w:eastAsia="it-IT"/>
        </w:rPr>
        <w:t>capitaria</w:t>
      </w:r>
      <w:proofErr w:type="spellEnd"/>
      <w:r w:rsidRPr="00230DA6">
        <w:rPr>
          <w:rFonts w:ascii="Garamond" w:eastAsia="Times New Roman" w:hAnsi="Garamond"/>
          <w:color w:val="000000"/>
          <w:sz w:val="24"/>
          <w:szCs w:val="24"/>
          <w:lang w:eastAsia="it-IT"/>
        </w:rPr>
        <w:t xml:space="preserve">: questo spiega il forte divario tra 2015 e 2014 sulle voci di ricavo e di costo per attività di ricovero e ambulatoriale. </w:t>
      </w:r>
    </w:p>
    <w:p w:rsidR="00230DA6" w:rsidRPr="00230DA6" w:rsidRDefault="00230DA6" w:rsidP="00230DA6">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Sulla mobilità regionale verso le altre Aziende del SSR, vale la regola dei tetti effettivi di attività, sia per l’attrazione sia per la fuga; il consuntivo 2015 riporta perciò i valori del fatturato effettivo, censiti dalla Direzione centrale salute.  Rispetto ai valori iscritti a preventivo vi è stato un aumento dell’attrazione (specie ricoveri), ma anche un incremento della fuga per ricoveri e ambulatoriale in ambito regionale.</w:t>
      </w:r>
    </w:p>
    <w:p w:rsidR="00230DA6" w:rsidRPr="00230DA6" w:rsidRDefault="00230DA6" w:rsidP="00230DA6">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 xml:space="preserve">Nessuna variazione invece sulla mobilità extraregionale, valorizzata come da regole del D.lgs. 118/2011 ai valori ufficiali censiti per il 2013 (due esercizi precedenti il bilancio in chiusura). </w:t>
      </w:r>
    </w:p>
    <w:p w:rsidR="00230DA6" w:rsidRPr="00230DA6" w:rsidRDefault="00230DA6" w:rsidP="00230DA6">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Mobilità extra regionale privati accreditati: la valorizzazione è coerente con le regole regionali di finanziamento e con il d.lgs. 118/11, precisamente la valorizzazione del ricavo a consuntivo è rimasta identica al preventivo, mentre i costi sono valorizzati in base alle fatture ricevute.</w:t>
      </w:r>
    </w:p>
    <w:p w:rsidR="00230DA6" w:rsidRPr="00230DA6" w:rsidRDefault="00230DA6" w:rsidP="00230DA6">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 xml:space="preserve">I dati consuntivi sono comunque in linea con le proiezioni periodiche. </w:t>
      </w:r>
    </w:p>
    <w:p w:rsidR="00230DA6" w:rsidRPr="00230DA6" w:rsidRDefault="00230DA6" w:rsidP="00230DA6">
      <w:pPr>
        <w:spacing w:line="360" w:lineRule="auto"/>
        <w:jc w:val="both"/>
        <w:rPr>
          <w:rFonts w:ascii="Garamond" w:eastAsia="Times New Roman" w:hAnsi="Garamond"/>
          <w:color w:val="000000"/>
          <w:sz w:val="24"/>
          <w:szCs w:val="24"/>
          <w:lang w:eastAsia="it-IT"/>
        </w:rPr>
      </w:pPr>
      <w:r w:rsidRPr="00230DA6">
        <w:rPr>
          <w:rFonts w:ascii="Garamond" w:eastAsia="Times New Roman" w:hAnsi="Garamond"/>
          <w:color w:val="000000"/>
          <w:sz w:val="24"/>
          <w:szCs w:val="24"/>
          <w:lang w:eastAsia="it-IT"/>
        </w:rPr>
        <w:t xml:space="preserve">Sui ricavi propri per ticket si registra un lieve scostamento in diminuzione rispetto alla previsione;   tuttavia si può affermare che la rimodulazione della quota di compartecipazione della spesa, in base alle disposizioni regionali, non ha determinato le temute variazioni di segno negativo. </w:t>
      </w:r>
    </w:p>
    <w:p w:rsidR="00DA685E" w:rsidRDefault="00DA685E" w:rsidP="00D423D4">
      <w:pPr>
        <w:spacing w:line="360" w:lineRule="auto"/>
        <w:jc w:val="both"/>
        <w:rPr>
          <w:rFonts w:asciiTheme="minorHAnsi" w:hAnsiTheme="minorHAnsi" w:cstheme="minorHAnsi"/>
          <w:b/>
        </w:rPr>
      </w:pPr>
    </w:p>
    <w:p w:rsidR="00DA685E" w:rsidRDefault="00DA685E" w:rsidP="00D423D4">
      <w:pPr>
        <w:spacing w:line="360" w:lineRule="auto"/>
        <w:jc w:val="both"/>
        <w:rPr>
          <w:rFonts w:asciiTheme="minorHAnsi" w:hAnsiTheme="minorHAnsi" w:cstheme="minorHAnsi"/>
          <w:b/>
        </w:rPr>
      </w:pPr>
    </w:p>
    <w:p w:rsidR="00D423D4" w:rsidRPr="00D423D4" w:rsidRDefault="00D423D4" w:rsidP="00D423D4">
      <w:pPr>
        <w:spacing w:line="360" w:lineRule="auto"/>
        <w:jc w:val="both"/>
        <w:rPr>
          <w:rFonts w:asciiTheme="minorHAnsi" w:hAnsiTheme="minorHAnsi" w:cstheme="minorHAnsi"/>
          <w:b/>
        </w:rPr>
      </w:pPr>
      <w:r w:rsidRPr="00D423D4">
        <w:rPr>
          <w:rFonts w:asciiTheme="minorHAnsi" w:hAnsiTheme="minorHAnsi" w:cstheme="minorHAnsi"/>
          <w:b/>
        </w:rPr>
        <w:lastRenderedPageBreak/>
        <w:t xml:space="preserve">ATTIVITA’ </w:t>
      </w:r>
      <w:r w:rsidR="008B36FF">
        <w:rPr>
          <w:rFonts w:asciiTheme="minorHAnsi" w:hAnsiTheme="minorHAnsi" w:cstheme="minorHAnsi"/>
          <w:b/>
        </w:rPr>
        <w:t>SVOLTA</w:t>
      </w:r>
    </w:p>
    <w:p w:rsidR="00594582" w:rsidRPr="00594582" w:rsidRDefault="00594582" w:rsidP="00D423D4">
      <w:pPr>
        <w:spacing w:line="360" w:lineRule="auto"/>
        <w:jc w:val="both"/>
        <w:rPr>
          <w:rFonts w:ascii="Garamond" w:hAnsi="Garamond" w:cstheme="minorHAnsi"/>
          <w:sz w:val="24"/>
          <w:szCs w:val="24"/>
        </w:rPr>
      </w:pPr>
      <w:r w:rsidRPr="00594582">
        <w:rPr>
          <w:rFonts w:ascii="Garamond" w:hAnsi="Garamond" w:cstheme="minorHAnsi"/>
          <w:sz w:val="24"/>
          <w:szCs w:val="24"/>
        </w:rPr>
        <w:t>Nel 2015 con CRO sono stati avviati i percorsi e le attività propedeutiche al passaggio di funzioni, ma dal punto di vista formale vanno strutturati percorsi di revisione organizzativa anche con il coinvolgimento dei professionisti, predisponendo specifici piani di fattibilità che prevedano l’impatto sui diversi livelli dell’organizzazione di entramb</w:t>
      </w:r>
      <w:r w:rsidR="003B2FB5">
        <w:rPr>
          <w:rFonts w:ascii="Garamond" w:hAnsi="Garamond" w:cstheme="minorHAnsi"/>
          <w:sz w:val="24"/>
          <w:szCs w:val="24"/>
        </w:rPr>
        <w:t>i</w:t>
      </w:r>
      <w:r w:rsidRPr="00594582">
        <w:rPr>
          <w:rFonts w:ascii="Garamond" w:hAnsi="Garamond" w:cstheme="minorHAnsi"/>
          <w:sz w:val="24"/>
          <w:szCs w:val="24"/>
        </w:rPr>
        <w:t xml:space="preserve"> gli enti avendo cura di “preservare” alcune quote di attività  in relazione alla domanda di salute della popolazione residente (es. prestazioni di ecografia assicurate dalla Medicina Nucleare) ed ai modelli organizzativi di funzionamento degli ospedali (es. consulenze di oncologia). In particolare nel 2016 saranno ulteriormente implementate le attività di integrazione con CR</w:t>
      </w:r>
      <w:r w:rsidR="003B2FB5">
        <w:rPr>
          <w:rFonts w:ascii="Garamond" w:hAnsi="Garamond" w:cstheme="minorHAnsi"/>
          <w:sz w:val="24"/>
          <w:szCs w:val="24"/>
        </w:rPr>
        <w:t>O p</w:t>
      </w:r>
      <w:r w:rsidRPr="00594582">
        <w:rPr>
          <w:rFonts w:ascii="Garamond" w:hAnsi="Garamond" w:cstheme="minorHAnsi"/>
          <w:sz w:val="24"/>
          <w:szCs w:val="24"/>
        </w:rPr>
        <w:t>er quanto riguarda le chirurgie al fine di dare attuazione al protocollo d’intesa siglato nel luglio 2015 e realizzare così il Dipartimento funzionale di Oncologia Chirurgica di Area Vasta.</w:t>
      </w:r>
    </w:p>
    <w:p w:rsidR="00594582" w:rsidRPr="00594582" w:rsidRDefault="00594582" w:rsidP="00594582">
      <w:pPr>
        <w:spacing w:line="360" w:lineRule="auto"/>
        <w:jc w:val="both"/>
        <w:rPr>
          <w:rFonts w:ascii="Garamond" w:hAnsi="Garamond" w:cstheme="minorHAnsi"/>
          <w:sz w:val="24"/>
          <w:szCs w:val="24"/>
        </w:rPr>
      </w:pPr>
      <w:r w:rsidRPr="00594582">
        <w:rPr>
          <w:rFonts w:ascii="Garamond" w:hAnsi="Garamond" w:cstheme="minorHAnsi"/>
          <w:sz w:val="24"/>
          <w:szCs w:val="24"/>
        </w:rPr>
        <w:t xml:space="preserve">Durante </w:t>
      </w:r>
      <w:r>
        <w:rPr>
          <w:rFonts w:ascii="Garamond" w:hAnsi="Garamond" w:cstheme="minorHAnsi"/>
          <w:sz w:val="24"/>
          <w:szCs w:val="24"/>
        </w:rPr>
        <w:t>il 2015</w:t>
      </w:r>
      <w:r w:rsidRPr="00594582">
        <w:rPr>
          <w:rFonts w:ascii="Garamond" w:hAnsi="Garamond" w:cstheme="minorHAnsi"/>
          <w:sz w:val="24"/>
          <w:szCs w:val="24"/>
        </w:rPr>
        <w:t xml:space="preserve">  si è già avviato il percorso di analisi e discussione con i professionisti </w:t>
      </w:r>
      <w:r w:rsidR="003B2FB5">
        <w:rPr>
          <w:rFonts w:ascii="Garamond" w:hAnsi="Garamond" w:cstheme="minorHAnsi"/>
          <w:sz w:val="24"/>
          <w:szCs w:val="24"/>
        </w:rPr>
        <w:t>su</w:t>
      </w:r>
      <w:r w:rsidRPr="00594582">
        <w:rPr>
          <w:rFonts w:ascii="Garamond" w:hAnsi="Garamond" w:cstheme="minorHAnsi"/>
          <w:sz w:val="24"/>
          <w:szCs w:val="24"/>
        </w:rPr>
        <w:t>lla necessità di concentrare alcune attività sull’ospedale HUB al fine di armonizzare i percorsi attuativi della DGR 2673/2014 con il percorso di riforma e di passaggio delle funzioni da/a CRO.</w:t>
      </w:r>
    </w:p>
    <w:p w:rsidR="00594582" w:rsidRPr="00594582" w:rsidRDefault="00594582" w:rsidP="00594582">
      <w:pPr>
        <w:spacing w:line="360" w:lineRule="auto"/>
        <w:jc w:val="both"/>
        <w:rPr>
          <w:rFonts w:ascii="Garamond" w:hAnsi="Garamond" w:cstheme="minorHAnsi"/>
          <w:sz w:val="24"/>
          <w:szCs w:val="24"/>
        </w:rPr>
      </w:pPr>
      <w:r w:rsidRPr="00594582">
        <w:rPr>
          <w:rFonts w:ascii="Garamond" w:hAnsi="Garamond" w:cstheme="minorHAnsi"/>
          <w:sz w:val="24"/>
          <w:szCs w:val="24"/>
        </w:rPr>
        <w:t>Nel corso del mese di dicembre le urgenze chirurgiche notturne/festive di Spilimbergo sono transitate all’ospedale di Pordenone e quelle ortopediche all’ospedale di San Vito.</w:t>
      </w:r>
    </w:p>
    <w:p w:rsidR="00594582" w:rsidRPr="00594582" w:rsidRDefault="00594582" w:rsidP="00594582">
      <w:pPr>
        <w:spacing w:line="360" w:lineRule="auto"/>
        <w:jc w:val="both"/>
        <w:rPr>
          <w:rFonts w:ascii="Garamond" w:hAnsi="Garamond" w:cstheme="minorHAnsi"/>
          <w:sz w:val="24"/>
          <w:szCs w:val="24"/>
        </w:rPr>
      </w:pPr>
      <w:r w:rsidRPr="00594582">
        <w:rPr>
          <w:rFonts w:ascii="Garamond" w:hAnsi="Garamond" w:cstheme="minorHAnsi"/>
          <w:sz w:val="24"/>
          <w:szCs w:val="24"/>
        </w:rPr>
        <w:t>Per quanto riguarda l’assetto delle funzioni ospedaliere in coerenza alla DGR 2673/2014 nel corso dell’anno è stato predisposto un documento di “</w:t>
      </w:r>
      <w:r w:rsidRPr="00594582">
        <w:rPr>
          <w:rFonts w:ascii="Garamond" w:hAnsi="Garamond" w:cstheme="minorHAnsi"/>
          <w:sz w:val="24"/>
          <w:szCs w:val="24"/>
          <w:u w:val="single"/>
        </w:rPr>
        <w:t>Riconversione della SC medicina interna e post-acuzie di Sacile in struttura intermedia polifunzionale (SIP)”</w:t>
      </w:r>
      <w:r w:rsidRPr="00594582">
        <w:rPr>
          <w:rFonts w:ascii="Garamond" w:hAnsi="Garamond" w:cstheme="minorHAnsi"/>
          <w:sz w:val="24"/>
          <w:szCs w:val="24"/>
        </w:rPr>
        <w:t xml:space="preserve">. Il documento illustra i diversi aspetti della riorganizzazione sia dal punto di vista gestionale che strutturale in un’ottica complessiva di interezza del percorso </w:t>
      </w:r>
      <w:proofErr w:type="spellStart"/>
      <w:r w:rsidRPr="00594582">
        <w:rPr>
          <w:rFonts w:ascii="Garamond" w:hAnsi="Garamond" w:cstheme="minorHAnsi"/>
          <w:sz w:val="24"/>
          <w:szCs w:val="24"/>
        </w:rPr>
        <w:t>riorganizzativo</w:t>
      </w:r>
      <w:proofErr w:type="spellEnd"/>
      <w:r w:rsidRPr="00594582">
        <w:rPr>
          <w:rFonts w:ascii="Garamond" w:hAnsi="Garamond" w:cstheme="minorHAnsi"/>
          <w:sz w:val="24"/>
          <w:szCs w:val="24"/>
        </w:rPr>
        <w:t xml:space="preserve"> proposto. Il documento necessita dell’approvazione regionale per l’avvio operativo delle attività.</w:t>
      </w:r>
    </w:p>
    <w:p w:rsidR="00594582" w:rsidRPr="00594582" w:rsidRDefault="00594582" w:rsidP="00594582">
      <w:pPr>
        <w:spacing w:line="360" w:lineRule="auto"/>
        <w:jc w:val="both"/>
        <w:rPr>
          <w:rFonts w:ascii="Garamond" w:hAnsi="Garamond" w:cstheme="minorHAnsi"/>
          <w:sz w:val="24"/>
          <w:szCs w:val="24"/>
        </w:rPr>
      </w:pPr>
      <w:r w:rsidRPr="00594582">
        <w:rPr>
          <w:rFonts w:ascii="Garamond" w:hAnsi="Garamond" w:cstheme="minorHAnsi"/>
          <w:sz w:val="24"/>
          <w:szCs w:val="24"/>
        </w:rPr>
        <w:t xml:space="preserve">Dal punto di vista delle </w:t>
      </w:r>
      <w:r w:rsidRPr="00594582">
        <w:rPr>
          <w:rFonts w:ascii="Garamond" w:hAnsi="Garamond" w:cstheme="minorHAnsi"/>
          <w:sz w:val="24"/>
          <w:szCs w:val="24"/>
          <w:u w:val="single"/>
        </w:rPr>
        <w:t>attività territoriali</w:t>
      </w:r>
      <w:r w:rsidRPr="00594582">
        <w:rPr>
          <w:rFonts w:ascii="Garamond" w:hAnsi="Garamond" w:cstheme="minorHAnsi"/>
          <w:sz w:val="24"/>
          <w:szCs w:val="24"/>
        </w:rPr>
        <w:t xml:space="preserve"> nel 2015 è stata attivata a Maniago la REMS che ha richiesto un importante sforzo </w:t>
      </w:r>
      <w:proofErr w:type="spellStart"/>
      <w:r w:rsidRPr="00594582">
        <w:rPr>
          <w:rFonts w:ascii="Garamond" w:hAnsi="Garamond" w:cstheme="minorHAnsi"/>
          <w:sz w:val="24"/>
          <w:szCs w:val="24"/>
        </w:rPr>
        <w:t>riorganizzativo</w:t>
      </w:r>
      <w:proofErr w:type="spellEnd"/>
      <w:r w:rsidRPr="00594582">
        <w:rPr>
          <w:rFonts w:ascii="Garamond" w:hAnsi="Garamond" w:cstheme="minorHAnsi"/>
          <w:sz w:val="24"/>
          <w:szCs w:val="24"/>
        </w:rPr>
        <w:t xml:space="preserve"> dei professionisti  e rilevanti interventi strutturali il cui completamento è programmato per l’anno 2017. Nel corso del 2016 questa linea di attività andrà ulteriormente implementata e consolidata.</w:t>
      </w:r>
    </w:p>
    <w:p w:rsidR="00594582" w:rsidRPr="00594582" w:rsidRDefault="00594582" w:rsidP="00594582">
      <w:pPr>
        <w:spacing w:line="360" w:lineRule="auto"/>
        <w:jc w:val="both"/>
        <w:rPr>
          <w:rFonts w:ascii="Garamond" w:hAnsi="Garamond" w:cstheme="minorHAnsi"/>
          <w:sz w:val="24"/>
          <w:szCs w:val="24"/>
        </w:rPr>
      </w:pPr>
      <w:r w:rsidRPr="00594582">
        <w:rPr>
          <w:rFonts w:ascii="Garamond" w:hAnsi="Garamond" w:cstheme="minorHAnsi"/>
          <w:sz w:val="24"/>
          <w:szCs w:val="24"/>
        </w:rPr>
        <w:t xml:space="preserve">La programmazione delle attività di </w:t>
      </w:r>
      <w:r w:rsidRPr="00594582">
        <w:rPr>
          <w:rFonts w:ascii="Garamond" w:hAnsi="Garamond" w:cstheme="minorHAnsi"/>
          <w:sz w:val="24"/>
          <w:szCs w:val="24"/>
          <w:u w:val="single"/>
        </w:rPr>
        <w:t>assistenza primaria</w:t>
      </w:r>
      <w:r w:rsidRPr="00594582">
        <w:rPr>
          <w:rFonts w:ascii="Garamond" w:hAnsi="Garamond" w:cstheme="minorHAnsi"/>
          <w:sz w:val="24"/>
          <w:szCs w:val="24"/>
        </w:rPr>
        <w:t xml:space="preserve"> ha risentito, per quanto attiene gli sviluppi contenuti nella programmazione aziendale 2015 (CAP, AFT), dei tempi della riforma ed in particolare della ridefinizione degli ambiti territoriali nonché della mancata sottoscrizione degli accordi quadro per la medicina generale e la pediatria di libera scelta. Nel corso del 2015 sono stati incrementati sia il numero di utenti presi in carico dal </w:t>
      </w:r>
      <w:r w:rsidRPr="00594582">
        <w:rPr>
          <w:rFonts w:ascii="Garamond" w:hAnsi="Garamond" w:cstheme="minorHAnsi"/>
          <w:sz w:val="24"/>
          <w:szCs w:val="24"/>
          <w:u w:val="single"/>
        </w:rPr>
        <w:t>servizio infermieristico domiciliare</w:t>
      </w:r>
      <w:r w:rsidRPr="00594582">
        <w:rPr>
          <w:rFonts w:ascii="Garamond" w:hAnsi="Garamond" w:cstheme="minorHAnsi"/>
          <w:sz w:val="24"/>
          <w:szCs w:val="24"/>
        </w:rPr>
        <w:t xml:space="preserve"> (+5,1%) sia il numero di accessi (+3,2%). In particolare l’incremento di attività è stato assicurato nei confronti di persone con età </w:t>
      </w:r>
      <w:r w:rsidRPr="00594582">
        <w:rPr>
          <w:rFonts w:ascii="Garamond" w:hAnsi="Garamond" w:cstheme="minorHAnsi"/>
          <w:sz w:val="24"/>
          <w:szCs w:val="24"/>
        </w:rPr>
        <w:lastRenderedPageBreak/>
        <w:t xml:space="preserve">superiore ai 65 anni (utenti +4,5%, accessi +4,2%). Dai dati registrati a sistema informativo emerge inoltre un incremento significativo degli utenti con “piano assistenziale” pari al 35,8% dell’utenza con più di 65 anni. Anche le </w:t>
      </w:r>
      <w:proofErr w:type="spellStart"/>
      <w:r w:rsidRPr="00594582">
        <w:rPr>
          <w:rFonts w:ascii="Garamond" w:hAnsi="Garamond" w:cstheme="minorHAnsi"/>
          <w:sz w:val="24"/>
          <w:szCs w:val="24"/>
        </w:rPr>
        <w:t>performances</w:t>
      </w:r>
      <w:proofErr w:type="spellEnd"/>
      <w:r w:rsidRPr="00594582">
        <w:rPr>
          <w:rFonts w:ascii="Garamond" w:hAnsi="Garamond" w:cstheme="minorHAnsi"/>
          <w:sz w:val="24"/>
          <w:szCs w:val="24"/>
        </w:rPr>
        <w:t xml:space="preserve"> relative al </w:t>
      </w:r>
      <w:r w:rsidRPr="00594582">
        <w:rPr>
          <w:rFonts w:ascii="Garamond" w:hAnsi="Garamond" w:cstheme="minorHAnsi"/>
          <w:sz w:val="24"/>
          <w:szCs w:val="24"/>
          <w:u w:val="single"/>
        </w:rPr>
        <w:t>servizio riabilitativo domiciliare</w:t>
      </w:r>
      <w:r w:rsidRPr="00594582">
        <w:rPr>
          <w:rFonts w:ascii="Garamond" w:hAnsi="Garamond" w:cstheme="minorHAnsi"/>
          <w:sz w:val="24"/>
          <w:szCs w:val="24"/>
        </w:rPr>
        <w:t xml:space="preserve">  hanno registrato un incremento sia nel numero di utenti presi in carico (+11%) che nel numero di accessi (+12%). Queste </w:t>
      </w:r>
      <w:proofErr w:type="spellStart"/>
      <w:r w:rsidRPr="00594582">
        <w:rPr>
          <w:rFonts w:ascii="Garamond" w:hAnsi="Garamond" w:cstheme="minorHAnsi"/>
          <w:sz w:val="24"/>
          <w:szCs w:val="24"/>
        </w:rPr>
        <w:t>performances</w:t>
      </w:r>
      <w:proofErr w:type="spellEnd"/>
      <w:r w:rsidRPr="00594582">
        <w:rPr>
          <w:rFonts w:ascii="Garamond" w:hAnsi="Garamond" w:cstheme="minorHAnsi"/>
          <w:sz w:val="24"/>
          <w:szCs w:val="24"/>
        </w:rPr>
        <w:t xml:space="preserve"> evidenziano sia la capacità dei servizi domiciliari di incrementare la presa in carico dell’utenza più fragile che l’aumentata attenzione all’implementazione dei sistemi informativi.</w:t>
      </w:r>
    </w:p>
    <w:p w:rsidR="00594582" w:rsidRPr="00594582" w:rsidRDefault="00594582" w:rsidP="00594582">
      <w:pPr>
        <w:spacing w:line="360" w:lineRule="auto"/>
        <w:jc w:val="both"/>
        <w:rPr>
          <w:rFonts w:ascii="Garamond" w:hAnsi="Garamond" w:cstheme="minorHAnsi"/>
          <w:sz w:val="24"/>
          <w:szCs w:val="24"/>
        </w:rPr>
      </w:pPr>
      <w:r w:rsidRPr="00594582">
        <w:rPr>
          <w:rFonts w:ascii="Garamond" w:hAnsi="Garamond" w:cstheme="minorHAnsi"/>
          <w:sz w:val="24"/>
          <w:szCs w:val="24"/>
        </w:rPr>
        <w:t xml:space="preserve">Nel 2015 sono state assicurate le </w:t>
      </w:r>
      <w:r w:rsidRPr="00594582">
        <w:rPr>
          <w:rFonts w:ascii="Garamond" w:hAnsi="Garamond" w:cstheme="minorHAnsi"/>
          <w:sz w:val="24"/>
          <w:szCs w:val="24"/>
          <w:u w:val="single"/>
        </w:rPr>
        <w:t>attività della promozione della salute e della prevenzione</w:t>
      </w:r>
      <w:r w:rsidRPr="00594582">
        <w:rPr>
          <w:rFonts w:ascii="Garamond" w:hAnsi="Garamond" w:cstheme="minorHAnsi"/>
          <w:sz w:val="24"/>
          <w:szCs w:val="24"/>
        </w:rPr>
        <w:t xml:space="preserve"> in coerenza con gli obiettivi definiti a livello regionale nonostante alcune criticità nella dotazione delle risorse professionali.</w:t>
      </w:r>
    </w:p>
    <w:p w:rsidR="00594582" w:rsidRPr="00594582" w:rsidRDefault="00594582" w:rsidP="00594582">
      <w:pPr>
        <w:spacing w:line="360" w:lineRule="auto"/>
        <w:jc w:val="both"/>
        <w:rPr>
          <w:rFonts w:ascii="Garamond" w:hAnsi="Garamond" w:cstheme="minorHAnsi"/>
          <w:sz w:val="24"/>
          <w:szCs w:val="24"/>
        </w:rPr>
      </w:pPr>
      <w:r w:rsidRPr="00594582">
        <w:rPr>
          <w:rFonts w:ascii="Garamond" w:hAnsi="Garamond" w:cstheme="minorHAnsi"/>
          <w:sz w:val="24"/>
          <w:szCs w:val="24"/>
        </w:rPr>
        <w:t xml:space="preserve">Anche il </w:t>
      </w:r>
      <w:r w:rsidRPr="00594582">
        <w:rPr>
          <w:rFonts w:ascii="Garamond" w:hAnsi="Garamond" w:cstheme="minorHAnsi"/>
          <w:sz w:val="24"/>
          <w:szCs w:val="24"/>
          <w:u w:val="single"/>
        </w:rPr>
        <w:t>contesto ospedaliero</w:t>
      </w:r>
      <w:r w:rsidRPr="00594582">
        <w:rPr>
          <w:rFonts w:ascii="Garamond" w:hAnsi="Garamond" w:cstheme="minorHAnsi"/>
          <w:sz w:val="24"/>
          <w:szCs w:val="24"/>
        </w:rPr>
        <w:t xml:space="preserve"> ha risentito di alcune criticità derivanti da cessazioni di </w:t>
      </w:r>
      <w:proofErr w:type="spellStart"/>
      <w:r w:rsidRPr="00594582">
        <w:rPr>
          <w:rFonts w:ascii="Garamond" w:hAnsi="Garamond" w:cstheme="minorHAnsi"/>
          <w:sz w:val="24"/>
          <w:szCs w:val="24"/>
        </w:rPr>
        <w:t>apicalità</w:t>
      </w:r>
      <w:proofErr w:type="spellEnd"/>
      <w:r w:rsidRPr="00594582">
        <w:rPr>
          <w:rFonts w:ascii="Garamond" w:hAnsi="Garamond" w:cstheme="minorHAnsi"/>
          <w:sz w:val="24"/>
          <w:szCs w:val="24"/>
        </w:rPr>
        <w:t xml:space="preserve"> (chirurgia, cardiologia, ortopedia e radiologia presso il presidio di Pordenone) ma anche di significativi sviluppi avviati nei primi mesi del 2015 che hanno “messo in sicurezza” alcuni specifici ambiti: otorinolaringoiatria, chirurgia vascolare e gastroenterologia. Dal punto di vista generale comunque le </w:t>
      </w:r>
      <w:proofErr w:type="spellStart"/>
      <w:r w:rsidRPr="00594582">
        <w:rPr>
          <w:rFonts w:ascii="Garamond" w:hAnsi="Garamond" w:cstheme="minorHAnsi"/>
          <w:sz w:val="24"/>
          <w:szCs w:val="24"/>
        </w:rPr>
        <w:t>performances</w:t>
      </w:r>
      <w:proofErr w:type="spellEnd"/>
      <w:r w:rsidRPr="00594582">
        <w:rPr>
          <w:rFonts w:ascii="Garamond" w:hAnsi="Garamond" w:cstheme="minorHAnsi"/>
          <w:sz w:val="24"/>
          <w:szCs w:val="24"/>
        </w:rPr>
        <w:t xml:space="preserve"> realizzate dai diversi contesti ospedalieri confermano l’impegno ed i positivi “posizionamenti” all’interno del Network proposto dalla Scuola Superiore di Sant’Anna.</w:t>
      </w:r>
    </w:p>
    <w:p w:rsidR="00594582" w:rsidRPr="00594582" w:rsidRDefault="00594582" w:rsidP="00594582">
      <w:pPr>
        <w:spacing w:line="360" w:lineRule="auto"/>
        <w:jc w:val="both"/>
        <w:rPr>
          <w:rFonts w:ascii="Garamond" w:hAnsi="Garamond" w:cstheme="minorHAnsi"/>
          <w:sz w:val="24"/>
          <w:szCs w:val="24"/>
        </w:rPr>
      </w:pPr>
      <w:r w:rsidRPr="00594582">
        <w:rPr>
          <w:rFonts w:ascii="Garamond" w:hAnsi="Garamond" w:cstheme="minorHAnsi"/>
          <w:sz w:val="24"/>
          <w:szCs w:val="24"/>
        </w:rPr>
        <w:t xml:space="preserve">Per quanto riguarda l’intervento di realizzazione del </w:t>
      </w:r>
      <w:r w:rsidRPr="00594582">
        <w:rPr>
          <w:rFonts w:ascii="Garamond" w:hAnsi="Garamond" w:cstheme="minorHAnsi"/>
          <w:sz w:val="24"/>
          <w:szCs w:val="24"/>
          <w:u w:val="single"/>
        </w:rPr>
        <w:t>nuovo ospedale</w:t>
      </w:r>
      <w:r w:rsidRPr="00594582">
        <w:rPr>
          <w:rFonts w:ascii="Garamond" w:hAnsi="Garamond" w:cstheme="minorHAnsi"/>
          <w:sz w:val="24"/>
          <w:szCs w:val="24"/>
        </w:rPr>
        <w:t>, di seguito si riassumono le attività svolte nel corso del 2015.</w:t>
      </w:r>
    </w:p>
    <w:p w:rsidR="00594582" w:rsidRPr="00594582" w:rsidRDefault="00594582" w:rsidP="00594582">
      <w:pPr>
        <w:widowControl w:val="0"/>
        <w:spacing w:line="360" w:lineRule="auto"/>
        <w:jc w:val="both"/>
        <w:rPr>
          <w:rFonts w:ascii="Garamond" w:hAnsi="Garamond" w:cstheme="minorHAnsi"/>
          <w:sz w:val="24"/>
          <w:szCs w:val="24"/>
        </w:rPr>
      </w:pPr>
      <w:r w:rsidRPr="00594582">
        <w:rPr>
          <w:rFonts w:ascii="Garamond" w:hAnsi="Garamond" w:cstheme="minorHAnsi"/>
          <w:sz w:val="24"/>
          <w:szCs w:val="24"/>
        </w:rPr>
        <w:t>A febbraio 2015 è stata avviata la progettazione preliminare del nuovo ospedale, conclusa con l’approvazione da parte dell’Azienda con decreto n. 365 del 24.06.2015 e da parte del NVISS con parere preventivo n. PC157-EDI1942-A5 di data 06.07.2015.</w:t>
      </w:r>
    </w:p>
    <w:p w:rsidR="00594582" w:rsidRPr="00594582" w:rsidRDefault="00594582" w:rsidP="00594582">
      <w:pPr>
        <w:widowControl w:val="0"/>
        <w:spacing w:line="360" w:lineRule="auto"/>
        <w:jc w:val="both"/>
        <w:rPr>
          <w:rFonts w:ascii="Garamond" w:hAnsi="Garamond" w:cstheme="minorHAnsi"/>
          <w:sz w:val="24"/>
          <w:szCs w:val="24"/>
        </w:rPr>
      </w:pPr>
      <w:r w:rsidRPr="00594582">
        <w:rPr>
          <w:rFonts w:ascii="Garamond" w:hAnsi="Garamond" w:cstheme="minorHAnsi"/>
          <w:sz w:val="24"/>
          <w:szCs w:val="24"/>
        </w:rPr>
        <w:t>Ad agosto 2015 è stata avviata la progettazione definitiva; il progetto definitivo è stato consegnato a fine ottobre 2015 e approvato dall’Azienda con decreto n. 610 del 19.11.2015.</w:t>
      </w:r>
    </w:p>
    <w:p w:rsidR="00594582" w:rsidRPr="00594582" w:rsidRDefault="00594582" w:rsidP="00594582">
      <w:pPr>
        <w:widowControl w:val="0"/>
        <w:spacing w:line="360" w:lineRule="auto"/>
        <w:jc w:val="both"/>
        <w:rPr>
          <w:rFonts w:ascii="Garamond" w:hAnsi="Garamond" w:cstheme="minorHAnsi"/>
          <w:sz w:val="24"/>
          <w:szCs w:val="24"/>
        </w:rPr>
      </w:pPr>
      <w:r w:rsidRPr="00594582">
        <w:rPr>
          <w:rFonts w:ascii="Garamond" w:hAnsi="Garamond" w:cstheme="minorHAnsi"/>
          <w:sz w:val="24"/>
          <w:szCs w:val="24"/>
        </w:rPr>
        <w:t xml:space="preserve">Nel corso del 2015 sono stati inoltre avviati gli accordi con il Comune di Pordenone per la modifica della convenzione riguardante il posteggio pubblico di via </w:t>
      </w:r>
      <w:proofErr w:type="spellStart"/>
      <w:r w:rsidRPr="00594582">
        <w:rPr>
          <w:rFonts w:ascii="Garamond" w:hAnsi="Garamond" w:cstheme="minorHAnsi"/>
          <w:sz w:val="24"/>
          <w:szCs w:val="24"/>
        </w:rPr>
        <w:t>Montereale</w:t>
      </w:r>
      <w:proofErr w:type="spellEnd"/>
      <w:r w:rsidRPr="00594582">
        <w:rPr>
          <w:rFonts w:ascii="Garamond" w:hAnsi="Garamond" w:cstheme="minorHAnsi"/>
          <w:sz w:val="24"/>
          <w:szCs w:val="24"/>
        </w:rPr>
        <w:t xml:space="preserve"> e per l’utilizzo parziale, per esigenze connesse con l’avvio del cantiere del nuovo ospedale, dell’area aperta adiacente i magazzini comunali di </w:t>
      </w:r>
      <w:proofErr w:type="spellStart"/>
      <w:r w:rsidRPr="00594582">
        <w:rPr>
          <w:rFonts w:ascii="Garamond" w:hAnsi="Garamond" w:cstheme="minorHAnsi"/>
          <w:sz w:val="24"/>
          <w:szCs w:val="24"/>
        </w:rPr>
        <w:t>Vial</w:t>
      </w:r>
      <w:proofErr w:type="spellEnd"/>
      <w:r w:rsidRPr="00594582">
        <w:rPr>
          <w:rFonts w:ascii="Garamond" w:hAnsi="Garamond" w:cstheme="minorHAnsi"/>
          <w:sz w:val="24"/>
          <w:szCs w:val="24"/>
        </w:rPr>
        <w:t xml:space="preserve"> Rotto.</w:t>
      </w:r>
    </w:p>
    <w:p w:rsidR="00594582" w:rsidRPr="00594582" w:rsidRDefault="00594582" w:rsidP="00594582">
      <w:pPr>
        <w:widowControl w:val="0"/>
        <w:spacing w:line="360" w:lineRule="auto"/>
        <w:jc w:val="both"/>
        <w:rPr>
          <w:rFonts w:ascii="Garamond" w:hAnsi="Garamond" w:cstheme="minorHAnsi"/>
          <w:sz w:val="24"/>
          <w:szCs w:val="24"/>
        </w:rPr>
      </w:pPr>
      <w:r w:rsidRPr="00594582">
        <w:rPr>
          <w:rFonts w:ascii="Garamond" w:hAnsi="Garamond" w:cstheme="minorHAnsi"/>
          <w:sz w:val="24"/>
          <w:szCs w:val="24"/>
        </w:rPr>
        <w:t>Per quanto riguarda le opere propedeutiche:</w:t>
      </w:r>
    </w:p>
    <w:p w:rsidR="00594582" w:rsidRPr="00594582" w:rsidRDefault="00594582" w:rsidP="00594582">
      <w:pPr>
        <w:pStyle w:val="Paragrafoelenco"/>
        <w:widowControl w:val="0"/>
        <w:numPr>
          <w:ilvl w:val="0"/>
          <w:numId w:val="42"/>
        </w:numPr>
        <w:suppressAutoHyphens w:val="0"/>
        <w:spacing w:line="360" w:lineRule="auto"/>
        <w:ind w:left="426" w:hanging="284"/>
        <w:contextualSpacing/>
        <w:jc w:val="both"/>
        <w:textAlignment w:val="auto"/>
        <w:rPr>
          <w:rFonts w:ascii="Garamond" w:hAnsi="Garamond" w:cstheme="minorHAnsi"/>
        </w:rPr>
      </w:pPr>
      <w:r w:rsidRPr="00594582">
        <w:rPr>
          <w:rFonts w:ascii="Garamond" w:hAnsi="Garamond" w:cstheme="minorHAnsi"/>
        </w:rPr>
        <w:t xml:space="preserve">A gennaio 2015 sono stati avviate le demolizioni dei padiglioni G, S, T, U, V e W che si sono concluse in agosto 2015 (importo complessivo 925.000 euro): il </w:t>
      </w:r>
      <w:proofErr w:type="spellStart"/>
      <w:r w:rsidRPr="00594582">
        <w:rPr>
          <w:rFonts w:ascii="Garamond" w:hAnsi="Garamond" w:cstheme="minorHAnsi"/>
        </w:rPr>
        <w:t>sedime</w:t>
      </w:r>
      <w:proofErr w:type="spellEnd"/>
      <w:r w:rsidRPr="00594582">
        <w:rPr>
          <w:rFonts w:ascii="Garamond" w:hAnsi="Garamond" w:cstheme="minorHAnsi"/>
        </w:rPr>
        <w:t xml:space="preserve"> dei padiglioni demoliti è stato temporaneamente sistemato a posteggio in attesa dell’avvio del cantiere del nuovo ospedale.</w:t>
      </w:r>
    </w:p>
    <w:p w:rsidR="00594582" w:rsidRPr="00594582" w:rsidRDefault="00594582" w:rsidP="00594582">
      <w:pPr>
        <w:pStyle w:val="Paragrafoelenco"/>
        <w:widowControl w:val="0"/>
        <w:numPr>
          <w:ilvl w:val="0"/>
          <w:numId w:val="42"/>
        </w:numPr>
        <w:suppressAutoHyphens w:val="0"/>
        <w:spacing w:line="360" w:lineRule="auto"/>
        <w:ind w:left="426" w:hanging="284"/>
        <w:contextualSpacing/>
        <w:jc w:val="both"/>
        <w:textAlignment w:val="auto"/>
        <w:rPr>
          <w:rFonts w:ascii="Garamond" w:hAnsi="Garamond" w:cstheme="minorHAnsi"/>
        </w:rPr>
      </w:pPr>
      <w:r w:rsidRPr="00594582">
        <w:rPr>
          <w:rFonts w:ascii="Garamond" w:hAnsi="Garamond" w:cstheme="minorHAnsi"/>
        </w:rPr>
        <w:lastRenderedPageBreak/>
        <w:t>A partire dal mese di marzo 2015 fino ad agosto 2015 sono stati redatti i progetti preliminare, definitivo ed esecutivo della nuova sede dei servizi mortuari (importo complessivo 1.500.000 euro); nel mese di settembre 2015 è stata avviata la procedura per l’affidamento dei lavori, che è stata aggiudicata a fine novembre. Una volta completate le verifiche e gli adempimenti normativi prescritti, si procederà alla stipula del contratto e all’avvio dei lavori, indicativamente entro la fine del mese di gennaio 2016).</w:t>
      </w:r>
    </w:p>
    <w:p w:rsidR="00594582" w:rsidRDefault="00594582" w:rsidP="00197F23">
      <w:pPr>
        <w:spacing w:line="360" w:lineRule="auto"/>
        <w:jc w:val="both"/>
        <w:rPr>
          <w:rFonts w:ascii="Garamond" w:hAnsi="Garamond"/>
          <w:color w:val="000000"/>
          <w:sz w:val="24"/>
          <w:szCs w:val="24"/>
        </w:rPr>
      </w:pPr>
    </w:p>
    <w:p w:rsidR="00DE34F8" w:rsidRDefault="00DE34F8" w:rsidP="00197F23">
      <w:pPr>
        <w:spacing w:line="360" w:lineRule="auto"/>
        <w:jc w:val="both"/>
        <w:rPr>
          <w:rFonts w:ascii="Garamond" w:hAnsi="Garamond"/>
          <w:color w:val="000000"/>
          <w:sz w:val="24"/>
          <w:szCs w:val="24"/>
        </w:rPr>
      </w:pPr>
      <w:r w:rsidRPr="00DE34F8">
        <w:rPr>
          <w:rFonts w:ascii="Garamond" w:hAnsi="Garamond"/>
          <w:color w:val="000000"/>
          <w:sz w:val="24"/>
          <w:szCs w:val="24"/>
        </w:rPr>
        <w:t xml:space="preserve">Per </w:t>
      </w:r>
      <w:r>
        <w:rPr>
          <w:rFonts w:ascii="Garamond" w:hAnsi="Garamond"/>
          <w:color w:val="000000"/>
          <w:sz w:val="24"/>
          <w:szCs w:val="24"/>
        </w:rPr>
        <w:t xml:space="preserve">una più puntuale e dettagliata evidenza dei risultati ottenuti sia in termini di volumi che di qualità delle cure si rinvia al decreto n. </w:t>
      </w:r>
      <w:r w:rsidR="00A163CA">
        <w:rPr>
          <w:rFonts w:ascii="Garamond" w:hAnsi="Garamond"/>
          <w:color w:val="000000"/>
          <w:sz w:val="24"/>
          <w:szCs w:val="24"/>
        </w:rPr>
        <w:t>2</w:t>
      </w:r>
      <w:r w:rsidR="00230DA6">
        <w:rPr>
          <w:rFonts w:ascii="Garamond" w:hAnsi="Garamond"/>
          <w:color w:val="000000"/>
          <w:sz w:val="24"/>
          <w:szCs w:val="24"/>
        </w:rPr>
        <w:t>50</w:t>
      </w:r>
      <w:r>
        <w:rPr>
          <w:rFonts w:ascii="Garamond" w:hAnsi="Garamond"/>
          <w:color w:val="000000"/>
          <w:sz w:val="24"/>
          <w:szCs w:val="24"/>
        </w:rPr>
        <w:t xml:space="preserve"> del </w:t>
      </w:r>
      <w:r w:rsidR="00230DA6">
        <w:rPr>
          <w:rFonts w:ascii="Garamond" w:hAnsi="Garamond"/>
          <w:color w:val="000000"/>
          <w:sz w:val="24"/>
          <w:szCs w:val="24"/>
        </w:rPr>
        <w:t>29</w:t>
      </w:r>
      <w:r>
        <w:rPr>
          <w:rFonts w:ascii="Garamond" w:hAnsi="Garamond"/>
          <w:color w:val="000000"/>
          <w:sz w:val="24"/>
          <w:szCs w:val="24"/>
        </w:rPr>
        <w:t>.04.201</w:t>
      </w:r>
      <w:r w:rsidR="00230DA6">
        <w:rPr>
          <w:rFonts w:ascii="Garamond" w:hAnsi="Garamond"/>
          <w:color w:val="000000"/>
          <w:sz w:val="24"/>
          <w:szCs w:val="24"/>
        </w:rPr>
        <w:t>6</w:t>
      </w:r>
      <w:r>
        <w:rPr>
          <w:rFonts w:ascii="Garamond" w:hAnsi="Garamond"/>
          <w:color w:val="000000"/>
          <w:sz w:val="24"/>
          <w:szCs w:val="24"/>
        </w:rPr>
        <w:t xml:space="preserve"> (Relazione sulla gestione e Bilancio di esercizio  201</w:t>
      </w:r>
      <w:r w:rsidR="00230DA6">
        <w:rPr>
          <w:rFonts w:ascii="Garamond" w:hAnsi="Garamond"/>
          <w:color w:val="000000"/>
          <w:sz w:val="24"/>
          <w:szCs w:val="24"/>
        </w:rPr>
        <w:t>5</w:t>
      </w:r>
      <w:r>
        <w:rPr>
          <w:rFonts w:ascii="Garamond" w:hAnsi="Garamond"/>
          <w:color w:val="000000"/>
          <w:sz w:val="24"/>
          <w:szCs w:val="24"/>
        </w:rPr>
        <w:t>).</w:t>
      </w:r>
    </w:p>
    <w:p w:rsidR="00E7230E" w:rsidRDefault="00E7230E" w:rsidP="005D4B1F">
      <w:pPr>
        <w:autoSpaceDE w:val="0"/>
        <w:autoSpaceDN w:val="0"/>
        <w:adjustRightInd w:val="0"/>
        <w:spacing w:after="0" w:line="360" w:lineRule="auto"/>
        <w:jc w:val="both"/>
        <w:rPr>
          <w:rFonts w:ascii="Garamond" w:hAnsi="Garamond"/>
          <w:b/>
          <w:color w:val="000000"/>
          <w:sz w:val="24"/>
          <w:szCs w:val="24"/>
        </w:rPr>
      </w:pPr>
    </w:p>
    <w:p w:rsidR="005D4B1F" w:rsidRPr="00734937" w:rsidRDefault="00DE34F8" w:rsidP="005D4B1F">
      <w:pPr>
        <w:autoSpaceDE w:val="0"/>
        <w:autoSpaceDN w:val="0"/>
        <w:adjustRightInd w:val="0"/>
        <w:spacing w:after="0" w:line="360" w:lineRule="auto"/>
        <w:jc w:val="both"/>
        <w:rPr>
          <w:rFonts w:ascii="Garamond" w:hAnsi="Garamond"/>
          <w:b/>
          <w:color w:val="000000"/>
          <w:sz w:val="24"/>
          <w:szCs w:val="24"/>
        </w:rPr>
      </w:pPr>
      <w:r>
        <w:rPr>
          <w:rFonts w:ascii="Garamond" w:hAnsi="Garamond"/>
          <w:b/>
          <w:color w:val="000000"/>
          <w:sz w:val="24"/>
          <w:szCs w:val="24"/>
        </w:rPr>
        <w:t>S</w:t>
      </w:r>
      <w:r w:rsidR="005D4B1F" w:rsidRPr="00734937">
        <w:rPr>
          <w:rFonts w:ascii="Garamond" w:hAnsi="Garamond"/>
          <w:b/>
          <w:color w:val="000000"/>
          <w:sz w:val="24"/>
          <w:szCs w:val="24"/>
        </w:rPr>
        <w:t>istema premiante</w:t>
      </w:r>
      <w:r>
        <w:rPr>
          <w:rFonts w:ascii="Garamond" w:hAnsi="Garamond"/>
          <w:b/>
          <w:color w:val="000000"/>
          <w:sz w:val="24"/>
          <w:szCs w:val="24"/>
        </w:rPr>
        <w:t xml:space="preserve"> e gestione per budget</w:t>
      </w:r>
    </w:p>
    <w:p w:rsidR="005D4B1F" w:rsidRDefault="005D4B1F" w:rsidP="005D4B1F">
      <w:pPr>
        <w:autoSpaceDE w:val="0"/>
        <w:autoSpaceDN w:val="0"/>
        <w:adjustRightInd w:val="0"/>
        <w:spacing w:after="0" w:line="360" w:lineRule="auto"/>
        <w:jc w:val="both"/>
        <w:rPr>
          <w:rFonts w:ascii="Garamond" w:hAnsi="Garamond"/>
          <w:color w:val="000000"/>
          <w:sz w:val="24"/>
          <w:szCs w:val="24"/>
        </w:rPr>
      </w:pPr>
    </w:p>
    <w:p w:rsidR="00A163CA" w:rsidRDefault="00A163CA" w:rsidP="00A163CA">
      <w:pPr>
        <w:autoSpaceDE w:val="0"/>
        <w:autoSpaceDN w:val="0"/>
        <w:adjustRightInd w:val="0"/>
        <w:spacing w:after="0" w:line="360" w:lineRule="auto"/>
        <w:jc w:val="both"/>
        <w:rPr>
          <w:rFonts w:ascii="Garamond" w:hAnsi="Garamond"/>
          <w:color w:val="000000"/>
          <w:sz w:val="24"/>
          <w:szCs w:val="24"/>
        </w:rPr>
      </w:pPr>
      <w:r>
        <w:rPr>
          <w:rFonts w:ascii="Garamond" w:hAnsi="Garamond"/>
          <w:color w:val="000000"/>
          <w:sz w:val="24"/>
          <w:szCs w:val="24"/>
        </w:rPr>
        <w:t>La LR 49/1996 prevede che l’Azienda attui una modalità operativa basata sulla gestione per budget.</w:t>
      </w:r>
    </w:p>
    <w:p w:rsidR="00A163CA" w:rsidRDefault="00A163CA" w:rsidP="00A163CA">
      <w:pPr>
        <w:autoSpaceDE w:val="0"/>
        <w:autoSpaceDN w:val="0"/>
        <w:adjustRightInd w:val="0"/>
        <w:spacing w:after="0" w:line="360" w:lineRule="auto"/>
        <w:jc w:val="both"/>
        <w:rPr>
          <w:rFonts w:ascii="Garamond" w:hAnsi="Garamond"/>
          <w:color w:val="000000"/>
          <w:sz w:val="24"/>
          <w:szCs w:val="24"/>
        </w:rPr>
      </w:pPr>
      <w:r>
        <w:rPr>
          <w:rFonts w:ascii="Garamond" w:hAnsi="Garamond"/>
          <w:color w:val="000000"/>
          <w:sz w:val="24"/>
          <w:szCs w:val="24"/>
        </w:rPr>
        <w:t>Questo meccanismo operativo consente l’attribuzione di obiettivi e di risorse ai centri di responsabilità aziendali in un’ottica di traduzione operativa delle linee programmatiche definite dalla Amministrazione Regionale. Al fine di realizzare efficaci azioni di contenimento della spesa vengono attribuiti dalla Direzione Amministrativa i budget di risorsa alle articolazion</w:t>
      </w:r>
      <w:r w:rsidR="00E7230E">
        <w:rPr>
          <w:rFonts w:ascii="Garamond" w:hAnsi="Garamond"/>
          <w:color w:val="000000"/>
          <w:sz w:val="24"/>
          <w:szCs w:val="24"/>
        </w:rPr>
        <w:t>i</w:t>
      </w:r>
      <w:r>
        <w:rPr>
          <w:rFonts w:ascii="Garamond" w:hAnsi="Garamond"/>
          <w:color w:val="000000"/>
          <w:sz w:val="24"/>
          <w:szCs w:val="24"/>
        </w:rPr>
        <w:t xml:space="preserve"> organizzative che si occupano dell’acquisizione delle stesse. I budget di risorsa sono oggetto di monitoraggio costante e continuativo da parte della Direzione Amministrativa per il tramite del Servizio Programmazione.</w:t>
      </w:r>
    </w:p>
    <w:p w:rsidR="00A163CA" w:rsidRDefault="00A163CA" w:rsidP="00A163CA">
      <w:pPr>
        <w:autoSpaceDE w:val="0"/>
        <w:autoSpaceDN w:val="0"/>
        <w:adjustRightInd w:val="0"/>
        <w:spacing w:after="0" w:line="360" w:lineRule="auto"/>
        <w:jc w:val="both"/>
        <w:rPr>
          <w:rFonts w:ascii="Garamond" w:hAnsi="Garamond"/>
          <w:color w:val="000000"/>
          <w:sz w:val="24"/>
          <w:szCs w:val="24"/>
        </w:rPr>
      </w:pPr>
      <w:r>
        <w:rPr>
          <w:rFonts w:ascii="Garamond" w:hAnsi="Garamond"/>
          <w:color w:val="000000"/>
          <w:sz w:val="24"/>
          <w:szCs w:val="24"/>
        </w:rPr>
        <w:t>A valle del percorso di predisposizione del PA</w:t>
      </w:r>
      <w:r w:rsidR="00230DA6">
        <w:rPr>
          <w:rFonts w:ascii="Garamond" w:hAnsi="Garamond"/>
          <w:color w:val="000000"/>
          <w:sz w:val="24"/>
          <w:szCs w:val="24"/>
        </w:rPr>
        <w:t>L</w:t>
      </w:r>
      <w:r>
        <w:rPr>
          <w:rFonts w:ascii="Garamond" w:hAnsi="Garamond"/>
          <w:color w:val="000000"/>
          <w:sz w:val="24"/>
          <w:szCs w:val="24"/>
        </w:rPr>
        <w:t xml:space="preserve"> la Direzione Aziendale ha predisposto, avvalendosi della Struttura Programmazione e Controllo, le schede di budget dei diversi centri di attività aziendali.</w:t>
      </w:r>
    </w:p>
    <w:p w:rsidR="00A163CA" w:rsidRDefault="00A163CA" w:rsidP="00A163CA">
      <w:pPr>
        <w:autoSpaceDE w:val="0"/>
        <w:autoSpaceDN w:val="0"/>
        <w:adjustRightInd w:val="0"/>
        <w:spacing w:after="0" w:line="360" w:lineRule="auto"/>
        <w:jc w:val="both"/>
        <w:rPr>
          <w:rFonts w:ascii="Garamond" w:hAnsi="Garamond"/>
          <w:color w:val="000000"/>
          <w:sz w:val="24"/>
          <w:szCs w:val="24"/>
        </w:rPr>
      </w:pPr>
      <w:r>
        <w:rPr>
          <w:rFonts w:ascii="Garamond" w:hAnsi="Garamond"/>
          <w:color w:val="000000"/>
          <w:sz w:val="24"/>
          <w:szCs w:val="24"/>
        </w:rPr>
        <w:t>Le schede di budget sono strutturate in:</w:t>
      </w:r>
    </w:p>
    <w:p w:rsidR="00A163CA" w:rsidRDefault="00A163CA" w:rsidP="00A163CA">
      <w:pPr>
        <w:pStyle w:val="Paragrafoelenco"/>
        <w:numPr>
          <w:ilvl w:val="0"/>
          <w:numId w:val="24"/>
        </w:numPr>
        <w:autoSpaceDE w:val="0"/>
        <w:autoSpaceDN w:val="0"/>
        <w:adjustRightInd w:val="0"/>
        <w:spacing w:line="360" w:lineRule="auto"/>
        <w:jc w:val="both"/>
        <w:rPr>
          <w:rFonts w:ascii="Garamond" w:hAnsi="Garamond"/>
          <w:color w:val="000000"/>
        </w:rPr>
      </w:pPr>
      <w:r>
        <w:rPr>
          <w:rFonts w:ascii="Garamond" w:hAnsi="Garamond"/>
          <w:color w:val="000000"/>
        </w:rPr>
        <w:t>Obiettivi economici</w:t>
      </w:r>
    </w:p>
    <w:p w:rsidR="00A163CA" w:rsidRDefault="00A163CA" w:rsidP="00A163CA">
      <w:pPr>
        <w:pStyle w:val="Paragrafoelenco"/>
        <w:numPr>
          <w:ilvl w:val="0"/>
          <w:numId w:val="24"/>
        </w:numPr>
        <w:autoSpaceDE w:val="0"/>
        <w:autoSpaceDN w:val="0"/>
        <w:adjustRightInd w:val="0"/>
        <w:spacing w:line="360" w:lineRule="auto"/>
        <w:jc w:val="both"/>
        <w:rPr>
          <w:rFonts w:ascii="Garamond" w:hAnsi="Garamond"/>
          <w:color w:val="000000"/>
        </w:rPr>
      </w:pPr>
      <w:r>
        <w:rPr>
          <w:rFonts w:ascii="Garamond" w:hAnsi="Garamond"/>
          <w:color w:val="000000"/>
        </w:rPr>
        <w:t>Obiettivi di rilevanza aziendale</w:t>
      </w:r>
    </w:p>
    <w:p w:rsidR="00A163CA" w:rsidRDefault="00A163CA" w:rsidP="00A163CA">
      <w:pPr>
        <w:pStyle w:val="Paragrafoelenco"/>
        <w:numPr>
          <w:ilvl w:val="0"/>
          <w:numId w:val="24"/>
        </w:numPr>
        <w:autoSpaceDE w:val="0"/>
        <w:autoSpaceDN w:val="0"/>
        <w:adjustRightInd w:val="0"/>
        <w:spacing w:line="360" w:lineRule="auto"/>
        <w:jc w:val="both"/>
        <w:rPr>
          <w:rFonts w:ascii="Garamond" w:hAnsi="Garamond"/>
          <w:color w:val="000000"/>
        </w:rPr>
      </w:pPr>
      <w:r>
        <w:rPr>
          <w:rFonts w:ascii="Garamond" w:hAnsi="Garamond"/>
          <w:color w:val="000000"/>
        </w:rPr>
        <w:t>Obiettivi di rilevanza regionale</w:t>
      </w:r>
    </w:p>
    <w:p w:rsidR="00A163CA" w:rsidRDefault="00A163CA" w:rsidP="00A163CA">
      <w:pPr>
        <w:pStyle w:val="Paragrafoelenco"/>
        <w:numPr>
          <w:ilvl w:val="0"/>
          <w:numId w:val="24"/>
        </w:numPr>
        <w:autoSpaceDE w:val="0"/>
        <w:autoSpaceDN w:val="0"/>
        <w:adjustRightInd w:val="0"/>
        <w:spacing w:line="360" w:lineRule="auto"/>
        <w:jc w:val="both"/>
        <w:rPr>
          <w:rFonts w:ascii="Garamond" w:hAnsi="Garamond"/>
          <w:color w:val="000000"/>
        </w:rPr>
      </w:pPr>
      <w:r>
        <w:rPr>
          <w:rFonts w:ascii="Garamond" w:hAnsi="Garamond"/>
          <w:color w:val="000000"/>
        </w:rPr>
        <w:t>Obiettivi gestionali</w:t>
      </w:r>
    </w:p>
    <w:p w:rsidR="00A163CA" w:rsidRDefault="00A163CA" w:rsidP="00A163CA">
      <w:pPr>
        <w:autoSpaceDE w:val="0"/>
        <w:autoSpaceDN w:val="0"/>
        <w:adjustRightInd w:val="0"/>
        <w:spacing w:line="360" w:lineRule="auto"/>
        <w:jc w:val="both"/>
        <w:rPr>
          <w:rFonts w:ascii="Garamond" w:hAnsi="Garamond"/>
          <w:color w:val="000000"/>
          <w:sz w:val="24"/>
          <w:szCs w:val="24"/>
        </w:rPr>
      </w:pPr>
      <w:r w:rsidRPr="00FF510D">
        <w:rPr>
          <w:rFonts w:ascii="Garamond" w:hAnsi="Garamond"/>
          <w:color w:val="000000"/>
          <w:sz w:val="24"/>
          <w:szCs w:val="24"/>
        </w:rPr>
        <w:t>Le strutture</w:t>
      </w:r>
      <w:r>
        <w:rPr>
          <w:rFonts w:ascii="Garamond" w:hAnsi="Garamond"/>
          <w:color w:val="000000"/>
          <w:sz w:val="24"/>
          <w:szCs w:val="24"/>
        </w:rPr>
        <w:t xml:space="preserve"> sede di budget possono proporre alla Direzione Aziendale l’inserimento in scheda budget di specifici obiettivi.</w:t>
      </w:r>
    </w:p>
    <w:p w:rsidR="00A163CA" w:rsidRDefault="00A163CA" w:rsidP="00A163CA">
      <w:pPr>
        <w:autoSpaceDE w:val="0"/>
        <w:autoSpaceDN w:val="0"/>
        <w:adjustRightInd w:val="0"/>
        <w:spacing w:line="360" w:lineRule="auto"/>
        <w:jc w:val="both"/>
        <w:rPr>
          <w:rFonts w:ascii="Garamond" w:hAnsi="Garamond"/>
          <w:color w:val="000000"/>
          <w:sz w:val="24"/>
          <w:szCs w:val="24"/>
        </w:rPr>
      </w:pPr>
      <w:r>
        <w:rPr>
          <w:rFonts w:ascii="Garamond" w:hAnsi="Garamond"/>
          <w:color w:val="000000"/>
          <w:sz w:val="24"/>
          <w:szCs w:val="24"/>
        </w:rPr>
        <w:t>Le schede di budget rappresentano lo strumento per il collegamento del sistema premiante alle attività in relazione alle risorse destinate alla produttività collettiva per il comparto ed alla retribuzione di risultato per la dirigenza e ulteriori progettualità (comprese nelle schede budget) che preve</w:t>
      </w:r>
      <w:r w:rsidR="00E7230E">
        <w:rPr>
          <w:rFonts w:ascii="Garamond" w:hAnsi="Garamond"/>
          <w:color w:val="000000"/>
          <w:sz w:val="24"/>
          <w:szCs w:val="24"/>
        </w:rPr>
        <w:t>do</w:t>
      </w:r>
      <w:r>
        <w:rPr>
          <w:rFonts w:ascii="Garamond" w:hAnsi="Garamond"/>
          <w:color w:val="000000"/>
          <w:sz w:val="24"/>
          <w:szCs w:val="24"/>
        </w:rPr>
        <w:t>no l’utilizzo delle Risorse Aggiuntive Regionali.</w:t>
      </w:r>
    </w:p>
    <w:p w:rsidR="00A163CA" w:rsidRPr="00E6464D" w:rsidRDefault="00A163CA" w:rsidP="00A163CA">
      <w:pPr>
        <w:spacing w:after="0" w:line="360" w:lineRule="auto"/>
        <w:jc w:val="both"/>
        <w:rPr>
          <w:rFonts w:ascii="Garamond" w:hAnsi="Garamond"/>
          <w:color w:val="000000"/>
          <w:sz w:val="24"/>
          <w:szCs w:val="24"/>
        </w:rPr>
      </w:pPr>
      <w:r w:rsidRPr="00E6464D">
        <w:rPr>
          <w:rFonts w:ascii="Garamond" w:hAnsi="Garamond"/>
          <w:color w:val="000000"/>
          <w:sz w:val="24"/>
          <w:szCs w:val="24"/>
        </w:rPr>
        <w:lastRenderedPageBreak/>
        <w:t xml:space="preserve">Gli accordi siglati dalle </w:t>
      </w:r>
      <w:proofErr w:type="spellStart"/>
      <w:r w:rsidRPr="00E6464D">
        <w:rPr>
          <w:rFonts w:ascii="Garamond" w:hAnsi="Garamond"/>
          <w:color w:val="000000"/>
          <w:sz w:val="24"/>
          <w:szCs w:val="24"/>
        </w:rPr>
        <w:t>OO.SS</w:t>
      </w:r>
      <w:proofErr w:type="spellEnd"/>
      <w:r w:rsidRPr="00E6464D">
        <w:rPr>
          <w:rFonts w:ascii="Garamond" w:hAnsi="Garamond"/>
          <w:color w:val="000000"/>
          <w:sz w:val="24"/>
          <w:szCs w:val="24"/>
        </w:rPr>
        <w:t>. (</w:t>
      </w:r>
      <w:r w:rsidRPr="003203C5">
        <w:rPr>
          <w:rFonts w:ascii="Garamond" w:hAnsi="Garamond"/>
          <w:color w:val="000000"/>
          <w:sz w:val="24"/>
          <w:szCs w:val="24"/>
        </w:rPr>
        <w:t xml:space="preserve">il </w:t>
      </w:r>
      <w:r w:rsidR="003203C5" w:rsidRPr="003203C5">
        <w:rPr>
          <w:rFonts w:ascii="Garamond" w:hAnsi="Garamond"/>
          <w:color w:val="000000"/>
          <w:sz w:val="24"/>
          <w:szCs w:val="24"/>
        </w:rPr>
        <w:t>2/10/2015</w:t>
      </w:r>
      <w:r w:rsidRPr="003203C5">
        <w:rPr>
          <w:rFonts w:ascii="Garamond" w:hAnsi="Garamond"/>
          <w:color w:val="000000"/>
          <w:sz w:val="24"/>
          <w:szCs w:val="24"/>
        </w:rPr>
        <w:t xml:space="preserve"> Area della Dirigenza Sanitaria e delle Professioni Sanitarie e Professionale Tecnica ed Amministrativa</w:t>
      </w:r>
      <w:r w:rsidR="003203C5">
        <w:rPr>
          <w:rFonts w:ascii="Garamond" w:hAnsi="Garamond"/>
          <w:color w:val="000000"/>
          <w:sz w:val="24"/>
          <w:szCs w:val="24"/>
        </w:rPr>
        <w:t xml:space="preserve"> e</w:t>
      </w:r>
      <w:r w:rsidRPr="003203C5">
        <w:rPr>
          <w:rFonts w:ascii="Garamond" w:hAnsi="Garamond"/>
          <w:color w:val="000000"/>
          <w:sz w:val="24"/>
          <w:szCs w:val="24"/>
        </w:rPr>
        <w:t xml:space="preserve"> Area della Dirigenza Medica e il </w:t>
      </w:r>
      <w:r w:rsidR="003203C5" w:rsidRPr="003203C5">
        <w:rPr>
          <w:rFonts w:ascii="Garamond" w:hAnsi="Garamond"/>
          <w:color w:val="000000"/>
          <w:sz w:val="24"/>
          <w:szCs w:val="24"/>
        </w:rPr>
        <w:t>20/10/2015</w:t>
      </w:r>
      <w:r w:rsidRPr="003203C5">
        <w:rPr>
          <w:rFonts w:ascii="Garamond" w:hAnsi="Garamond"/>
          <w:color w:val="000000"/>
          <w:sz w:val="24"/>
          <w:szCs w:val="24"/>
        </w:rPr>
        <w:t xml:space="preserve"> Area Comparto</w:t>
      </w:r>
      <w:r w:rsidRPr="00E6464D">
        <w:rPr>
          <w:rFonts w:ascii="Garamond" w:hAnsi="Garamond"/>
          <w:color w:val="000000"/>
          <w:sz w:val="24"/>
          <w:szCs w:val="24"/>
        </w:rPr>
        <w:t>) hanno regolamentato come le risorse finanziar</w:t>
      </w:r>
      <w:r w:rsidR="00E7230E">
        <w:rPr>
          <w:rFonts w:ascii="Garamond" w:hAnsi="Garamond"/>
          <w:color w:val="000000"/>
          <w:sz w:val="24"/>
          <w:szCs w:val="24"/>
        </w:rPr>
        <w:t>i</w:t>
      </w:r>
      <w:r w:rsidRPr="00E6464D">
        <w:rPr>
          <w:rFonts w:ascii="Garamond" w:hAnsi="Garamond"/>
          <w:color w:val="000000"/>
          <w:sz w:val="24"/>
          <w:szCs w:val="24"/>
        </w:rPr>
        <w:t>e per il 201</w:t>
      </w:r>
      <w:r w:rsidR="00953C92">
        <w:rPr>
          <w:rFonts w:ascii="Garamond" w:hAnsi="Garamond"/>
          <w:color w:val="000000"/>
          <w:sz w:val="24"/>
          <w:szCs w:val="24"/>
        </w:rPr>
        <w:t>5</w:t>
      </w:r>
      <w:r w:rsidRPr="00E6464D">
        <w:rPr>
          <w:rFonts w:ascii="Garamond" w:hAnsi="Garamond"/>
          <w:color w:val="000000"/>
          <w:sz w:val="24"/>
          <w:szCs w:val="24"/>
        </w:rPr>
        <w:t xml:space="preserve"> sono destinate alla retribuzione di risultato per la dirigenza e alla produttività collettiva e miglioramento dei servizi per il comparto.</w:t>
      </w:r>
    </w:p>
    <w:p w:rsidR="00A163CA" w:rsidRPr="00E6464D" w:rsidRDefault="00A163CA" w:rsidP="00A163CA">
      <w:pPr>
        <w:spacing w:line="360" w:lineRule="auto"/>
        <w:jc w:val="both"/>
        <w:rPr>
          <w:rFonts w:ascii="Garamond" w:hAnsi="Garamond"/>
          <w:color w:val="000000"/>
          <w:sz w:val="24"/>
          <w:szCs w:val="24"/>
        </w:rPr>
      </w:pPr>
      <w:r w:rsidRPr="00E6464D">
        <w:rPr>
          <w:rFonts w:ascii="Garamond" w:hAnsi="Garamond"/>
          <w:color w:val="000000"/>
          <w:sz w:val="24"/>
          <w:szCs w:val="24"/>
        </w:rPr>
        <w:t>Gli obiettivi incentivati sono finalizzati: all’incremento dell’efficienza quali/quantitativa del sistema ed all’ottimizzazione dei fattori di produzione; al miglioramento dell’efficacia del sistema (</w:t>
      </w:r>
      <w:proofErr w:type="spellStart"/>
      <w:r w:rsidRPr="00E6464D">
        <w:rPr>
          <w:rFonts w:ascii="Garamond" w:hAnsi="Garamond"/>
          <w:color w:val="000000"/>
          <w:sz w:val="24"/>
          <w:szCs w:val="24"/>
        </w:rPr>
        <w:t>outcome</w:t>
      </w:r>
      <w:proofErr w:type="spellEnd"/>
      <w:r w:rsidRPr="00E6464D">
        <w:rPr>
          <w:rFonts w:ascii="Garamond" w:hAnsi="Garamond"/>
          <w:color w:val="000000"/>
          <w:sz w:val="24"/>
          <w:szCs w:val="24"/>
        </w:rPr>
        <w:t xml:space="preserve"> sull’utenza interna ed esterna) garantendo adeguati standard di qualità; al miglioramento e all’evoluzione organizzativa dei servizi, anche in funzione dell’adeguamento ai  nuovi strumenti tecnologici.</w:t>
      </w:r>
    </w:p>
    <w:p w:rsidR="00A163CA" w:rsidRPr="00674A3F" w:rsidRDefault="00E7230E" w:rsidP="00A163CA">
      <w:pPr>
        <w:spacing w:line="360" w:lineRule="auto"/>
        <w:jc w:val="both"/>
        <w:rPr>
          <w:rFonts w:ascii="Garamond" w:hAnsi="Garamond"/>
          <w:color w:val="000000"/>
          <w:sz w:val="24"/>
          <w:szCs w:val="24"/>
        </w:rPr>
      </w:pPr>
      <w:r>
        <w:rPr>
          <w:rFonts w:ascii="Garamond" w:hAnsi="Garamond"/>
          <w:color w:val="000000"/>
          <w:sz w:val="24"/>
          <w:szCs w:val="24"/>
        </w:rPr>
        <w:t>Le intese locali prevedevano</w:t>
      </w:r>
      <w:r w:rsidR="00A163CA" w:rsidRPr="00674A3F">
        <w:rPr>
          <w:rFonts w:ascii="Garamond" w:hAnsi="Garamond"/>
          <w:color w:val="000000"/>
          <w:sz w:val="24"/>
          <w:szCs w:val="24"/>
        </w:rPr>
        <w:t xml:space="preserve"> le seguenti tipologie di obiettivi:</w:t>
      </w:r>
    </w:p>
    <w:p w:rsidR="00A163CA" w:rsidRPr="00674A3F" w:rsidRDefault="00A163CA" w:rsidP="00A163CA">
      <w:pPr>
        <w:pStyle w:val="Paragrafoelenco"/>
        <w:numPr>
          <w:ilvl w:val="0"/>
          <w:numId w:val="30"/>
        </w:numPr>
        <w:suppressAutoHyphens w:val="0"/>
        <w:spacing w:after="200" w:line="360" w:lineRule="auto"/>
        <w:contextualSpacing/>
        <w:jc w:val="both"/>
        <w:textAlignment w:val="auto"/>
        <w:rPr>
          <w:rFonts w:ascii="Garamond" w:eastAsia="Calibri" w:hAnsi="Garamond"/>
          <w:color w:val="000000"/>
          <w:lang w:eastAsia="en-US"/>
        </w:rPr>
      </w:pPr>
      <w:r w:rsidRPr="00674A3F">
        <w:rPr>
          <w:rFonts w:ascii="Garamond" w:eastAsia="Calibri" w:hAnsi="Garamond"/>
          <w:color w:val="000000"/>
          <w:lang w:eastAsia="en-US"/>
        </w:rPr>
        <w:t>generali</w:t>
      </w:r>
    </w:p>
    <w:p w:rsidR="00A163CA" w:rsidRPr="00674A3F" w:rsidRDefault="00A163CA" w:rsidP="00A163CA">
      <w:pPr>
        <w:pStyle w:val="Paragrafoelenco"/>
        <w:numPr>
          <w:ilvl w:val="0"/>
          <w:numId w:val="30"/>
        </w:numPr>
        <w:suppressAutoHyphens w:val="0"/>
        <w:spacing w:after="200" w:line="360" w:lineRule="auto"/>
        <w:contextualSpacing/>
        <w:jc w:val="both"/>
        <w:textAlignment w:val="auto"/>
        <w:rPr>
          <w:rFonts w:ascii="Garamond" w:eastAsia="Calibri" w:hAnsi="Garamond"/>
          <w:color w:val="000000"/>
          <w:lang w:eastAsia="en-US"/>
        </w:rPr>
      </w:pPr>
      <w:r w:rsidRPr="00674A3F">
        <w:rPr>
          <w:rFonts w:ascii="Garamond" w:eastAsia="Calibri" w:hAnsi="Garamond"/>
          <w:color w:val="000000"/>
          <w:lang w:eastAsia="en-US"/>
        </w:rPr>
        <w:t>specifici</w:t>
      </w:r>
    </w:p>
    <w:p w:rsidR="00A163CA" w:rsidRPr="00674A3F" w:rsidRDefault="00A163CA" w:rsidP="00A163CA">
      <w:pPr>
        <w:pStyle w:val="Paragrafoelenco"/>
        <w:numPr>
          <w:ilvl w:val="0"/>
          <w:numId w:val="30"/>
        </w:numPr>
        <w:suppressAutoHyphens w:val="0"/>
        <w:spacing w:after="200" w:line="360" w:lineRule="auto"/>
        <w:contextualSpacing/>
        <w:jc w:val="both"/>
        <w:textAlignment w:val="auto"/>
        <w:rPr>
          <w:rFonts w:ascii="Garamond" w:eastAsia="Calibri" w:hAnsi="Garamond"/>
          <w:color w:val="000000"/>
          <w:lang w:eastAsia="en-US"/>
        </w:rPr>
      </w:pPr>
      <w:r w:rsidRPr="00674A3F">
        <w:rPr>
          <w:rFonts w:ascii="Garamond" w:eastAsia="Calibri" w:hAnsi="Garamond"/>
          <w:color w:val="000000"/>
          <w:lang w:eastAsia="en-US"/>
        </w:rPr>
        <w:t>strategici</w:t>
      </w:r>
    </w:p>
    <w:p w:rsidR="00A163CA" w:rsidRPr="00674A3F" w:rsidRDefault="00A163CA" w:rsidP="00A163CA">
      <w:pPr>
        <w:spacing w:line="360" w:lineRule="auto"/>
        <w:jc w:val="both"/>
        <w:rPr>
          <w:rFonts w:ascii="Garamond" w:hAnsi="Garamond"/>
          <w:color w:val="000000"/>
          <w:sz w:val="24"/>
          <w:szCs w:val="24"/>
        </w:rPr>
      </w:pPr>
      <w:r w:rsidRPr="00E7230E">
        <w:rPr>
          <w:rFonts w:ascii="Garamond" w:hAnsi="Garamond"/>
          <w:color w:val="000000"/>
          <w:sz w:val="24"/>
          <w:szCs w:val="24"/>
          <w:u w:val="single"/>
        </w:rPr>
        <w:t>Obiettivi generali</w:t>
      </w:r>
      <w:r w:rsidRPr="00674A3F">
        <w:rPr>
          <w:rFonts w:ascii="Garamond" w:hAnsi="Garamond"/>
          <w:color w:val="000000"/>
          <w:sz w:val="24"/>
          <w:szCs w:val="24"/>
        </w:rPr>
        <w:t xml:space="preserve"> coincidono di norma con </w:t>
      </w:r>
      <w:r w:rsidR="00E7230E">
        <w:rPr>
          <w:rFonts w:ascii="Garamond" w:hAnsi="Garamond"/>
          <w:color w:val="000000"/>
          <w:sz w:val="24"/>
          <w:szCs w:val="24"/>
        </w:rPr>
        <w:t>l’attività istituzionale</w:t>
      </w:r>
      <w:r w:rsidRPr="00674A3F">
        <w:rPr>
          <w:rFonts w:ascii="Garamond" w:hAnsi="Garamond"/>
          <w:color w:val="000000"/>
          <w:sz w:val="24"/>
          <w:szCs w:val="24"/>
        </w:rPr>
        <w:t xml:space="preserve"> </w:t>
      </w:r>
      <w:r w:rsidR="00E7230E">
        <w:rPr>
          <w:rFonts w:ascii="Garamond" w:hAnsi="Garamond"/>
          <w:color w:val="000000"/>
          <w:sz w:val="24"/>
          <w:szCs w:val="24"/>
        </w:rPr>
        <w:t xml:space="preserve">di “routine” </w:t>
      </w:r>
      <w:r w:rsidRPr="00674A3F">
        <w:rPr>
          <w:rFonts w:ascii="Garamond" w:hAnsi="Garamond"/>
          <w:color w:val="000000"/>
          <w:sz w:val="24"/>
          <w:szCs w:val="24"/>
        </w:rPr>
        <w:t>e coinvolgono tutto il personale dirigente e comparto.</w:t>
      </w:r>
    </w:p>
    <w:p w:rsidR="00A163CA" w:rsidRPr="00674A3F" w:rsidRDefault="00A163CA" w:rsidP="00A163CA">
      <w:pPr>
        <w:spacing w:line="360" w:lineRule="auto"/>
        <w:jc w:val="both"/>
        <w:rPr>
          <w:rFonts w:ascii="Garamond" w:hAnsi="Garamond"/>
          <w:color w:val="000000"/>
          <w:sz w:val="24"/>
          <w:szCs w:val="24"/>
        </w:rPr>
      </w:pPr>
      <w:r w:rsidRPr="00E7230E">
        <w:rPr>
          <w:rFonts w:ascii="Garamond" w:hAnsi="Garamond"/>
          <w:color w:val="000000"/>
          <w:sz w:val="24"/>
          <w:szCs w:val="24"/>
          <w:u w:val="single"/>
        </w:rPr>
        <w:t>Obiettivi specifici</w:t>
      </w:r>
      <w:r w:rsidRPr="00674A3F">
        <w:rPr>
          <w:rFonts w:ascii="Garamond" w:hAnsi="Garamond"/>
          <w:color w:val="000000"/>
          <w:sz w:val="24"/>
          <w:szCs w:val="24"/>
        </w:rPr>
        <w:t xml:space="preserve"> coincidono di norma con gli obiettivi di cui alle intese sulle RAR.</w:t>
      </w:r>
    </w:p>
    <w:p w:rsidR="00A163CA" w:rsidRPr="00674A3F" w:rsidRDefault="00A163CA" w:rsidP="00A163CA">
      <w:pPr>
        <w:spacing w:line="360" w:lineRule="auto"/>
        <w:jc w:val="both"/>
        <w:rPr>
          <w:rFonts w:ascii="Garamond" w:hAnsi="Garamond"/>
          <w:color w:val="000000"/>
          <w:sz w:val="24"/>
          <w:szCs w:val="24"/>
        </w:rPr>
      </w:pPr>
      <w:r w:rsidRPr="00E7230E">
        <w:rPr>
          <w:rFonts w:ascii="Garamond" w:hAnsi="Garamond"/>
          <w:color w:val="000000"/>
          <w:sz w:val="24"/>
          <w:szCs w:val="24"/>
          <w:u w:val="single"/>
        </w:rPr>
        <w:t>Obiettivi strategici</w:t>
      </w:r>
      <w:r w:rsidRPr="00674A3F">
        <w:rPr>
          <w:rFonts w:ascii="Garamond" w:hAnsi="Garamond"/>
          <w:color w:val="000000"/>
          <w:sz w:val="24"/>
          <w:szCs w:val="24"/>
        </w:rPr>
        <w:t xml:space="preserve"> coincidono di norma con gli obiettivi a valenza strategica per la Direzione Generale e possono essere individuali o di equipe e sono identificati direttamente dal Direttore Generale, anche al di fuori del </w:t>
      </w:r>
      <w:r w:rsidR="00E7230E">
        <w:rPr>
          <w:rFonts w:ascii="Garamond" w:hAnsi="Garamond"/>
          <w:color w:val="000000"/>
          <w:sz w:val="24"/>
          <w:szCs w:val="24"/>
        </w:rPr>
        <w:t>percor</w:t>
      </w:r>
      <w:r w:rsidR="00D335B3">
        <w:rPr>
          <w:rFonts w:ascii="Garamond" w:hAnsi="Garamond"/>
          <w:color w:val="000000"/>
          <w:sz w:val="24"/>
          <w:szCs w:val="24"/>
        </w:rPr>
        <w:t>s</w:t>
      </w:r>
      <w:r w:rsidRPr="00674A3F">
        <w:rPr>
          <w:rFonts w:ascii="Garamond" w:hAnsi="Garamond"/>
          <w:color w:val="000000"/>
          <w:sz w:val="24"/>
          <w:szCs w:val="24"/>
        </w:rPr>
        <w:t>o di budget.</w:t>
      </w:r>
    </w:p>
    <w:p w:rsidR="00A163CA" w:rsidRPr="00674A3F" w:rsidRDefault="00A163CA" w:rsidP="00A163CA">
      <w:pPr>
        <w:spacing w:line="360" w:lineRule="auto"/>
        <w:jc w:val="both"/>
        <w:rPr>
          <w:rFonts w:ascii="Garamond" w:hAnsi="Garamond"/>
          <w:color w:val="000000"/>
          <w:sz w:val="24"/>
          <w:szCs w:val="24"/>
        </w:rPr>
      </w:pPr>
      <w:r w:rsidRPr="00674A3F">
        <w:rPr>
          <w:rFonts w:ascii="Garamond" w:hAnsi="Garamond"/>
          <w:color w:val="000000"/>
          <w:sz w:val="24"/>
          <w:szCs w:val="24"/>
        </w:rPr>
        <w:t>Gli obiettivi incentivati, assegnati  ai Centri di Attività, sono di norma individuati all’interno del percorso di budget e formalizzati con provvedimento del Direttore Generale.</w:t>
      </w:r>
    </w:p>
    <w:p w:rsidR="00A163CA" w:rsidRPr="00674A3F" w:rsidRDefault="00A163CA" w:rsidP="00A163CA">
      <w:pPr>
        <w:spacing w:line="360" w:lineRule="auto"/>
        <w:jc w:val="both"/>
        <w:rPr>
          <w:rFonts w:ascii="Garamond" w:hAnsi="Garamond"/>
          <w:color w:val="000000"/>
          <w:sz w:val="24"/>
          <w:szCs w:val="24"/>
        </w:rPr>
      </w:pPr>
      <w:r w:rsidRPr="00674A3F">
        <w:rPr>
          <w:rFonts w:ascii="Garamond" w:hAnsi="Garamond"/>
          <w:color w:val="000000"/>
          <w:sz w:val="24"/>
          <w:szCs w:val="24"/>
        </w:rPr>
        <w:t>Il sistema premiante collega la corresponsione della retribuzione di risultato/produttività collettiva ad un sistema di valutazione che riguarda:</w:t>
      </w:r>
    </w:p>
    <w:p w:rsidR="00A163CA" w:rsidRPr="00003D0A" w:rsidRDefault="00A163CA" w:rsidP="00A163CA">
      <w:pPr>
        <w:pStyle w:val="Paragrafoelenco"/>
        <w:numPr>
          <w:ilvl w:val="0"/>
          <w:numId w:val="31"/>
        </w:numPr>
        <w:suppressAutoHyphens w:val="0"/>
        <w:spacing w:after="200" w:line="360" w:lineRule="auto"/>
        <w:ind w:left="714" w:hanging="357"/>
        <w:contextualSpacing/>
        <w:jc w:val="both"/>
        <w:textAlignment w:val="auto"/>
        <w:rPr>
          <w:rFonts w:ascii="Garamond" w:eastAsia="Calibri" w:hAnsi="Garamond"/>
          <w:color w:val="000000"/>
          <w:lang w:eastAsia="en-US"/>
        </w:rPr>
      </w:pPr>
      <w:r w:rsidRPr="00003D0A">
        <w:rPr>
          <w:rFonts w:ascii="Garamond" w:eastAsia="Calibri" w:hAnsi="Garamond"/>
          <w:color w:val="000000"/>
          <w:lang w:eastAsia="en-US"/>
        </w:rPr>
        <w:t>il grado di raggiungimento dell’obiettivo</w:t>
      </w:r>
    </w:p>
    <w:p w:rsidR="00A163CA" w:rsidRPr="00003D0A" w:rsidRDefault="00A163CA" w:rsidP="00A163CA">
      <w:pPr>
        <w:pStyle w:val="Paragrafoelenco"/>
        <w:numPr>
          <w:ilvl w:val="0"/>
          <w:numId w:val="31"/>
        </w:numPr>
        <w:suppressAutoHyphens w:val="0"/>
        <w:spacing w:after="200" w:line="360" w:lineRule="auto"/>
        <w:ind w:left="714" w:hanging="357"/>
        <w:contextualSpacing/>
        <w:jc w:val="both"/>
        <w:textAlignment w:val="auto"/>
        <w:rPr>
          <w:rFonts w:ascii="Garamond" w:eastAsia="Calibri" w:hAnsi="Garamond"/>
          <w:color w:val="000000"/>
          <w:lang w:eastAsia="en-US"/>
        </w:rPr>
      </w:pPr>
      <w:r w:rsidRPr="00003D0A">
        <w:rPr>
          <w:rFonts w:ascii="Garamond" w:eastAsia="Calibri" w:hAnsi="Garamond"/>
          <w:color w:val="000000"/>
          <w:lang w:eastAsia="en-US"/>
        </w:rPr>
        <w:t xml:space="preserve">l’apporto individuale del </w:t>
      </w:r>
      <w:r w:rsidR="00E7230E">
        <w:rPr>
          <w:rFonts w:ascii="Garamond" w:eastAsia="Calibri" w:hAnsi="Garamond"/>
          <w:color w:val="000000"/>
          <w:lang w:eastAsia="en-US"/>
        </w:rPr>
        <w:t>singolo (</w:t>
      </w:r>
      <w:r w:rsidRPr="00003D0A">
        <w:rPr>
          <w:rFonts w:ascii="Garamond" w:eastAsia="Calibri" w:hAnsi="Garamond"/>
          <w:color w:val="000000"/>
          <w:lang w:eastAsia="en-US"/>
        </w:rPr>
        <w:t>dirigente</w:t>
      </w:r>
      <w:r w:rsidR="00E7230E">
        <w:rPr>
          <w:rFonts w:ascii="Garamond" w:eastAsia="Calibri" w:hAnsi="Garamond"/>
          <w:color w:val="000000"/>
          <w:lang w:eastAsia="en-US"/>
        </w:rPr>
        <w:t xml:space="preserve"> o </w:t>
      </w:r>
      <w:r w:rsidRPr="00003D0A">
        <w:rPr>
          <w:rFonts w:ascii="Garamond" w:eastAsia="Calibri" w:hAnsi="Garamond"/>
          <w:color w:val="000000"/>
          <w:lang w:eastAsia="en-US"/>
        </w:rPr>
        <w:t>personale del comparto</w:t>
      </w:r>
      <w:r w:rsidR="00E7230E">
        <w:rPr>
          <w:rFonts w:ascii="Garamond" w:eastAsia="Calibri" w:hAnsi="Garamond"/>
          <w:color w:val="000000"/>
          <w:lang w:eastAsia="en-US"/>
        </w:rPr>
        <w:t xml:space="preserve">) nel conseguimento degli obiettivi </w:t>
      </w:r>
    </w:p>
    <w:p w:rsidR="00A163CA" w:rsidRPr="00003D0A" w:rsidRDefault="00A163CA" w:rsidP="00A163CA">
      <w:pPr>
        <w:pStyle w:val="Paragrafoelenco"/>
        <w:numPr>
          <w:ilvl w:val="0"/>
          <w:numId w:val="31"/>
        </w:numPr>
        <w:suppressAutoHyphens w:val="0"/>
        <w:spacing w:after="200" w:line="360" w:lineRule="auto"/>
        <w:ind w:left="714" w:hanging="357"/>
        <w:contextualSpacing/>
        <w:jc w:val="both"/>
        <w:textAlignment w:val="auto"/>
        <w:rPr>
          <w:rFonts w:ascii="Garamond" w:eastAsia="Calibri" w:hAnsi="Garamond"/>
          <w:color w:val="000000"/>
          <w:lang w:eastAsia="en-US"/>
        </w:rPr>
      </w:pPr>
      <w:r w:rsidRPr="00003D0A">
        <w:rPr>
          <w:rFonts w:ascii="Garamond" w:eastAsia="Calibri" w:hAnsi="Garamond"/>
          <w:color w:val="000000"/>
          <w:lang w:eastAsia="en-US"/>
        </w:rPr>
        <w:t>l’esercizio di funzioni gestionali per i dirigenti responsabili.</w:t>
      </w:r>
    </w:p>
    <w:p w:rsidR="00953C92" w:rsidRDefault="00953C92">
      <w:pPr>
        <w:rPr>
          <w:rFonts w:ascii="Garamond" w:hAnsi="Garamond"/>
          <w:color w:val="000000"/>
        </w:rPr>
      </w:pPr>
      <w:r>
        <w:rPr>
          <w:rFonts w:ascii="Garamond" w:hAnsi="Garamond"/>
          <w:color w:val="000000"/>
        </w:rPr>
        <w:br w:type="page"/>
      </w:r>
    </w:p>
    <w:p w:rsidR="00A163CA" w:rsidRPr="00674A3F" w:rsidRDefault="00A163CA" w:rsidP="00A163CA">
      <w:pPr>
        <w:spacing w:line="360" w:lineRule="auto"/>
        <w:contextualSpacing/>
        <w:jc w:val="both"/>
        <w:rPr>
          <w:rFonts w:ascii="Garamond" w:hAnsi="Garamond"/>
          <w:color w:val="000000"/>
        </w:rPr>
      </w:pPr>
    </w:p>
    <w:p w:rsidR="00A163CA" w:rsidRPr="00003D0A" w:rsidRDefault="00A163CA" w:rsidP="00A163CA">
      <w:pPr>
        <w:autoSpaceDE w:val="0"/>
        <w:autoSpaceDN w:val="0"/>
        <w:adjustRightInd w:val="0"/>
        <w:spacing w:after="0" w:line="360" w:lineRule="auto"/>
        <w:rPr>
          <w:rFonts w:ascii="Garamond" w:hAnsi="Garamond"/>
          <w:b/>
          <w:color w:val="000000"/>
          <w:sz w:val="24"/>
          <w:szCs w:val="24"/>
        </w:rPr>
      </w:pPr>
      <w:r w:rsidRPr="00003D0A">
        <w:rPr>
          <w:rFonts w:ascii="Garamond" w:hAnsi="Garamond"/>
          <w:b/>
          <w:color w:val="000000"/>
          <w:sz w:val="24"/>
          <w:szCs w:val="24"/>
        </w:rPr>
        <w:t>Monitoraggio</w:t>
      </w:r>
      <w:r w:rsidRPr="00003D0A">
        <w:rPr>
          <w:rFonts w:ascii="Garamond" w:hAnsi="Garamond"/>
          <w:color w:val="000000"/>
          <w:sz w:val="24"/>
          <w:szCs w:val="24"/>
        </w:rPr>
        <w:t xml:space="preserve"> </w:t>
      </w:r>
      <w:r w:rsidRPr="00003D0A">
        <w:rPr>
          <w:rFonts w:ascii="Garamond" w:hAnsi="Garamond"/>
          <w:b/>
          <w:color w:val="000000"/>
          <w:sz w:val="24"/>
          <w:szCs w:val="24"/>
        </w:rPr>
        <w:t xml:space="preserve">degli obiettivi </w:t>
      </w:r>
    </w:p>
    <w:p w:rsidR="00A163CA" w:rsidRPr="00003D0A" w:rsidRDefault="00A163CA" w:rsidP="00A163CA">
      <w:pPr>
        <w:autoSpaceDE w:val="0"/>
        <w:autoSpaceDN w:val="0"/>
        <w:adjustRightInd w:val="0"/>
        <w:spacing w:after="0" w:line="360" w:lineRule="auto"/>
        <w:rPr>
          <w:rFonts w:ascii="Garamond" w:hAnsi="Garamond"/>
          <w:sz w:val="24"/>
          <w:szCs w:val="24"/>
        </w:rPr>
      </w:pPr>
    </w:p>
    <w:p w:rsidR="00A163CA" w:rsidRPr="00003D0A" w:rsidRDefault="00A163CA" w:rsidP="00A163CA">
      <w:pPr>
        <w:autoSpaceDE w:val="0"/>
        <w:autoSpaceDN w:val="0"/>
        <w:adjustRightInd w:val="0"/>
        <w:spacing w:after="0" w:line="360" w:lineRule="auto"/>
        <w:ind w:firstLine="708"/>
        <w:jc w:val="both"/>
        <w:rPr>
          <w:rFonts w:ascii="Garamond" w:hAnsi="Garamond"/>
          <w:sz w:val="24"/>
          <w:szCs w:val="24"/>
        </w:rPr>
      </w:pPr>
      <w:r w:rsidRPr="00003D0A">
        <w:rPr>
          <w:rFonts w:ascii="Garamond" w:hAnsi="Garamond"/>
          <w:sz w:val="24"/>
          <w:szCs w:val="24"/>
        </w:rPr>
        <w:t xml:space="preserve">La S.C. Programmazione, Controllo, Qualità, Accreditamento e </w:t>
      </w:r>
      <w:proofErr w:type="spellStart"/>
      <w:r w:rsidRPr="00003D0A">
        <w:rPr>
          <w:rFonts w:ascii="Garamond" w:hAnsi="Garamond"/>
          <w:sz w:val="24"/>
          <w:szCs w:val="24"/>
        </w:rPr>
        <w:t>Risk</w:t>
      </w:r>
      <w:proofErr w:type="spellEnd"/>
      <w:r w:rsidRPr="00003D0A">
        <w:rPr>
          <w:rFonts w:ascii="Garamond" w:hAnsi="Garamond"/>
          <w:sz w:val="24"/>
          <w:szCs w:val="24"/>
        </w:rPr>
        <w:t xml:space="preserve"> Management ha svolto, nel corso dell’anno, il monitoraggio delle schede di budget con frequenza:</w:t>
      </w:r>
    </w:p>
    <w:p w:rsidR="00A163CA" w:rsidRPr="00003D0A" w:rsidRDefault="00A163CA" w:rsidP="00A163CA">
      <w:pPr>
        <w:pStyle w:val="Paragrafoelenco"/>
        <w:numPr>
          <w:ilvl w:val="0"/>
          <w:numId w:val="33"/>
        </w:numPr>
        <w:suppressAutoHyphens w:val="0"/>
        <w:autoSpaceDE w:val="0"/>
        <w:autoSpaceDN w:val="0"/>
        <w:adjustRightInd w:val="0"/>
        <w:spacing w:line="360" w:lineRule="auto"/>
        <w:contextualSpacing/>
        <w:jc w:val="both"/>
        <w:textAlignment w:val="auto"/>
        <w:rPr>
          <w:rFonts w:ascii="Garamond" w:eastAsia="Calibri" w:hAnsi="Garamond"/>
        </w:rPr>
      </w:pPr>
      <w:r w:rsidRPr="00003D0A">
        <w:rPr>
          <w:rFonts w:ascii="Garamond" w:eastAsia="Calibri" w:hAnsi="Garamond"/>
        </w:rPr>
        <w:t>mensile per l’andamento dei costi dei beni di consumo</w:t>
      </w:r>
      <w:r w:rsidR="001F00AA">
        <w:rPr>
          <w:rFonts w:ascii="Garamond" w:eastAsia="Calibri" w:hAnsi="Garamond"/>
        </w:rPr>
        <w:t xml:space="preserve"> e degli indicatori di attività con pubblicazione nel sito aziendale</w:t>
      </w:r>
      <w:r w:rsidRPr="00003D0A">
        <w:rPr>
          <w:rFonts w:ascii="Garamond" w:eastAsia="Calibri" w:hAnsi="Garamond"/>
        </w:rPr>
        <w:t>;</w:t>
      </w:r>
    </w:p>
    <w:p w:rsidR="00A163CA" w:rsidRPr="00003D0A" w:rsidRDefault="001F00AA" w:rsidP="00A163CA">
      <w:pPr>
        <w:pStyle w:val="Paragrafoelenco"/>
        <w:numPr>
          <w:ilvl w:val="0"/>
          <w:numId w:val="33"/>
        </w:numPr>
        <w:suppressAutoHyphens w:val="0"/>
        <w:autoSpaceDE w:val="0"/>
        <w:autoSpaceDN w:val="0"/>
        <w:adjustRightInd w:val="0"/>
        <w:spacing w:line="360" w:lineRule="auto"/>
        <w:contextualSpacing/>
        <w:jc w:val="both"/>
        <w:textAlignment w:val="auto"/>
        <w:rPr>
          <w:rFonts w:ascii="Garamond" w:eastAsia="Calibri" w:hAnsi="Garamond"/>
        </w:rPr>
      </w:pPr>
      <w:r>
        <w:rPr>
          <w:rFonts w:ascii="Garamond" w:eastAsia="Calibri" w:hAnsi="Garamond"/>
        </w:rPr>
        <w:t xml:space="preserve">almeno un incontro con tutte le SOC </w:t>
      </w:r>
      <w:r w:rsidR="00A163CA" w:rsidRPr="00003D0A">
        <w:rPr>
          <w:rFonts w:ascii="Garamond" w:eastAsia="Calibri" w:hAnsi="Garamond"/>
        </w:rPr>
        <w:t>per il monitoraggio dello stato di avanzamento degli obiettivi generali assegnati nelle schede di budget</w:t>
      </w:r>
      <w:r>
        <w:rPr>
          <w:rFonts w:ascii="Garamond" w:eastAsia="Calibri" w:hAnsi="Garamond"/>
        </w:rPr>
        <w:t>.</w:t>
      </w:r>
    </w:p>
    <w:p w:rsidR="00A163CA" w:rsidRPr="00003D0A" w:rsidRDefault="00A163CA" w:rsidP="00A163CA">
      <w:pPr>
        <w:autoSpaceDE w:val="0"/>
        <w:autoSpaceDN w:val="0"/>
        <w:adjustRightInd w:val="0"/>
        <w:spacing w:after="0" w:line="360" w:lineRule="auto"/>
        <w:jc w:val="both"/>
        <w:rPr>
          <w:rFonts w:ascii="Garamond" w:hAnsi="Garamond"/>
          <w:sz w:val="24"/>
          <w:szCs w:val="24"/>
        </w:rPr>
      </w:pPr>
    </w:p>
    <w:p w:rsidR="00A163CA" w:rsidRPr="00003D0A" w:rsidRDefault="00A163CA" w:rsidP="00953C92">
      <w:pPr>
        <w:spacing w:after="0" w:line="360" w:lineRule="auto"/>
        <w:rPr>
          <w:rFonts w:ascii="Garamond" w:hAnsi="Garamond"/>
          <w:sz w:val="24"/>
          <w:szCs w:val="24"/>
        </w:rPr>
      </w:pPr>
      <w:r w:rsidRPr="00003D0A">
        <w:rPr>
          <w:rFonts w:ascii="Garamond" w:hAnsi="Garamond"/>
          <w:sz w:val="24"/>
          <w:szCs w:val="24"/>
        </w:rPr>
        <w:t xml:space="preserve">La Programmazione, Controllo, Qualità, Accreditamento e </w:t>
      </w:r>
      <w:proofErr w:type="spellStart"/>
      <w:r w:rsidRPr="00003D0A">
        <w:rPr>
          <w:rFonts w:ascii="Garamond" w:hAnsi="Garamond"/>
          <w:sz w:val="24"/>
          <w:szCs w:val="24"/>
        </w:rPr>
        <w:t>Risk</w:t>
      </w:r>
      <w:proofErr w:type="spellEnd"/>
      <w:r w:rsidRPr="00003D0A">
        <w:rPr>
          <w:rFonts w:ascii="Garamond" w:hAnsi="Garamond"/>
          <w:sz w:val="24"/>
          <w:szCs w:val="24"/>
        </w:rPr>
        <w:t xml:space="preserve"> Management garantisce le attività di valutazione per le seguenti tipologie di obiettivi:</w:t>
      </w:r>
    </w:p>
    <w:p w:rsidR="00A163CA" w:rsidRPr="00003D0A" w:rsidRDefault="00A163CA" w:rsidP="00953C92">
      <w:pPr>
        <w:pStyle w:val="Paragrafoelenco"/>
        <w:numPr>
          <w:ilvl w:val="0"/>
          <w:numId w:val="32"/>
        </w:numPr>
        <w:suppressAutoHyphens w:val="0"/>
        <w:spacing w:line="360" w:lineRule="auto"/>
        <w:contextualSpacing/>
        <w:jc w:val="both"/>
        <w:textAlignment w:val="auto"/>
        <w:rPr>
          <w:rFonts w:ascii="Garamond" w:eastAsia="Calibri" w:hAnsi="Garamond"/>
        </w:rPr>
      </w:pPr>
      <w:r w:rsidRPr="00003D0A">
        <w:rPr>
          <w:rFonts w:ascii="Garamond" w:eastAsia="Calibri" w:hAnsi="Garamond"/>
        </w:rPr>
        <w:t>Volumi di attività (ambulatoriale, ricovero)</w:t>
      </w:r>
    </w:p>
    <w:p w:rsidR="00A163CA" w:rsidRPr="00003D0A" w:rsidRDefault="00A163CA" w:rsidP="00953C92">
      <w:pPr>
        <w:pStyle w:val="Paragrafoelenco"/>
        <w:numPr>
          <w:ilvl w:val="0"/>
          <w:numId w:val="32"/>
        </w:numPr>
        <w:suppressAutoHyphens w:val="0"/>
        <w:spacing w:line="360" w:lineRule="auto"/>
        <w:contextualSpacing/>
        <w:jc w:val="both"/>
        <w:textAlignment w:val="auto"/>
        <w:rPr>
          <w:rFonts w:ascii="Garamond" w:eastAsia="Calibri" w:hAnsi="Garamond"/>
        </w:rPr>
      </w:pPr>
      <w:r w:rsidRPr="00003D0A">
        <w:rPr>
          <w:rFonts w:ascii="Garamond" w:eastAsia="Calibri" w:hAnsi="Garamond"/>
        </w:rPr>
        <w:t>Consumi</w:t>
      </w:r>
    </w:p>
    <w:p w:rsidR="00A163CA" w:rsidRDefault="00A163CA" w:rsidP="00953C92">
      <w:pPr>
        <w:pStyle w:val="Paragrafoelenco"/>
        <w:numPr>
          <w:ilvl w:val="0"/>
          <w:numId w:val="32"/>
        </w:numPr>
        <w:suppressAutoHyphens w:val="0"/>
        <w:spacing w:line="360" w:lineRule="auto"/>
        <w:contextualSpacing/>
        <w:jc w:val="both"/>
        <w:textAlignment w:val="auto"/>
        <w:rPr>
          <w:rFonts w:ascii="Garamond" w:eastAsia="Calibri" w:hAnsi="Garamond"/>
        </w:rPr>
      </w:pPr>
      <w:r w:rsidRPr="00003D0A">
        <w:rPr>
          <w:rFonts w:ascii="Garamond" w:eastAsia="Calibri" w:hAnsi="Garamond"/>
        </w:rPr>
        <w:t>Indicatori rischio clinico (es. valutazione del dolore, rischio di cadute, tasso di infezioni del sito chirurgico, ecc)</w:t>
      </w:r>
    </w:p>
    <w:p w:rsidR="001F00AA" w:rsidRPr="00003D0A" w:rsidRDefault="001F00AA" w:rsidP="00953C92">
      <w:pPr>
        <w:pStyle w:val="Paragrafoelenco"/>
        <w:numPr>
          <w:ilvl w:val="0"/>
          <w:numId w:val="32"/>
        </w:numPr>
        <w:suppressAutoHyphens w:val="0"/>
        <w:spacing w:line="360" w:lineRule="auto"/>
        <w:contextualSpacing/>
        <w:jc w:val="both"/>
        <w:textAlignment w:val="auto"/>
        <w:rPr>
          <w:rFonts w:ascii="Garamond" w:eastAsia="Calibri" w:hAnsi="Garamond"/>
        </w:rPr>
      </w:pPr>
      <w:r>
        <w:rPr>
          <w:rFonts w:ascii="Garamond" w:eastAsia="Calibri" w:hAnsi="Garamond"/>
        </w:rPr>
        <w:t>Obiettivi gestionali ( da parte dell’ufficio formazione e dell’ufficio personale)</w:t>
      </w:r>
    </w:p>
    <w:p w:rsidR="00A163CA" w:rsidRPr="00003D0A" w:rsidRDefault="00A163CA" w:rsidP="00953C92">
      <w:pPr>
        <w:spacing w:after="0" w:line="360" w:lineRule="auto"/>
        <w:jc w:val="both"/>
        <w:rPr>
          <w:rFonts w:ascii="Garamond" w:hAnsi="Garamond"/>
          <w:sz w:val="24"/>
          <w:szCs w:val="24"/>
        </w:rPr>
      </w:pPr>
      <w:r w:rsidRPr="00003D0A">
        <w:rPr>
          <w:rFonts w:ascii="Garamond" w:hAnsi="Garamond"/>
          <w:sz w:val="24"/>
          <w:szCs w:val="24"/>
        </w:rPr>
        <w:t xml:space="preserve">I dati prestazionali vengono resi disponibili (con periodicità anche mensile in alcuni casi) anche attraverso il sito intranet aziendale. </w:t>
      </w:r>
    </w:p>
    <w:p w:rsidR="00A163CA" w:rsidRPr="00003D0A" w:rsidRDefault="00A163CA" w:rsidP="00953C92">
      <w:pPr>
        <w:spacing w:after="0" w:line="360" w:lineRule="auto"/>
        <w:jc w:val="both"/>
        <w:rPr>
          <w:rFonts w:ascii="Garamond" w:hAnsi="Garamond"/>
          <w:sz w:val="24"/>
          <w:szCs w:val="24"/>
        </w:rPr>
      </w:pPr>
      <w:r w:rsidRPr="00003D0A">
        <w:rPr>
          <w:rFonts w:ascii="Garamond" w:hAnsi="Garamond"/>
          <w:sz w:val="24"/>
          <w:szCs w:val="24"/>
        </w:rPr>
        <w:t>Alcuni indicatori vengono monitorati sia a livello regionale che aziendale(es. completezza della cartella endoscopica, screening).</w:t>
      </w:r>
    </w:p>
    <w:p w:rsidR="00A163CA" w:rsidRDefault="00A163CA" w:rsidP="001F00AA">
      <w:pPr>
        <w:spacing w:after="0" w:line="360" w:lineRule="auto"/>
        <w:rPr>
          <w:rFonts w:ascii="Garamond" w:hAnsi="Garamond"/>
          <w:color w:val="000000"/>
          <w:sz w:val="24"/>
          <w:szCs w:val="24"/>
        </w:rPr>
      </w:pPr>
    </w:p>
    <w:p w:rsidR="00C80C7D" w:rsidRPr="00976E84" w:rsidRDefault="00C80C7D" w:rsidP="001F00AA">
      <w:pPr>
        <w:autoSpaceDE w:val="0"/>
        <w:autoSpaceDN w:val="0"/>
        <w:adjustRightInd w:val="0"/>
        <w:spacing w:after="0" w:line="360" w:lineRule="auto"/>
        <w:rPr>
          <w:rFonts w:ascii="Garamond" w:hAnsi="Garamond"/>
          <w:b/>
          <w:color w:val="000000"/>
          <w:sz w:val="24"/>
          <w:szCs w:val="24"/>
        </w:rPr>
      </w:pPr>
      <w:r w:rsidRPr="00976E84">
        <w:rPr>
          <w:rFonts w:ascii="Garamond" w:hAnsi="Garamond"/>
          <w:b/>
          <w:color w:val="000000"/>
          <w:sz w:val="24"/>
          <w:szCs w:val="24"/>
        </w:rPr>
        <w:t>Valutazione finale dei risultati raggiunti</w:t>
      </w:r>
    </w:p>
    <w:p w:rsidR="00471954" w:rsidRDefault="00471954" w:rsidP="00471954">
      <w:pPr>
        <w:tabs>
          <w:tab w:val="left" w:pos="6855"/>
        </w:tabs>
        <w:autoSpaceDE w:val="0"/>
        <w:autoSpaceDN w:val="0"/>
        <w:adjustRightInd w:val="0"/>
        <w:spacing w:after="0" w:line="360" w:lineRule="auto"/>
        <w:jc w:val="both"/>
        <w:rPr>
          <w:rFonts w:ascii="Garamond" w:hAnsi="Garamond"/>
          <w:color w:val="000000"/>
          <w:sz w:val="24"/>
          <w:szCs w:val="24"/>
        </w:rPr>
      </w:pPr>
      <w:r>
        <w:rPr>
          <w:rFonts w:ascii="Garamond" w:hAnsi="Garamond"/>
          <w:color w:val="000000"/>
          <w:sz w:val="24"/>
          <w:szCs w:val="24"/>
        </w:rPr>
        <w:t>A livello aziendale, in sede di consolidato sono stati rappresentati i livelli di performance raggiunti e si è in attesa della valutazione regionale del direttore generale (DGR 250 del 29/4/2016)</w:t>
      </w:r>
    </w:p>
    <w:p w:rsidR="00471954" w:rsidRDefault="00471954" w:rsidP="001F00AA">
      <w:pPr>
        <w:autoSpaceDE w:val="0"/>
        <w:autoSpaceDN w:val="0"/>
        <w:adjustRightInd w:val="0"/>
        <w:spacing w:after="0" w:line="360" w:lineRule="auto"/>
        <w:jc w:val="both"/>
        <w:rPr>
          <w:rFonts w:ascii="Garamond" w:hAnsi="Garamond"/>
          <w:color w:val="000000"/>
          <w:sz w:val="24"/>
          <w:szCs w:val="24"/>
        </w:rPr>
      </w:pPr>
    </w:p>
    <w:p w:rsidR="00C80C7D" w:rsidRDefault="00471954" w:rsidP="001F00AA">
      <w:pPr>
        <w:autoSpaceDE w:val="0"/>
        <w:autoSpaceDN w:val="0"/>
        <w:adjustRightInd w:val="0"/>
        <w:spacing w:after="0" w:line="360" w:lineRule="auto"/>
        <w:jc w:val="both"/>
        <w:rPr>
          <w:rFonts w:ascii="Garamond" w:hAnsi="Garamond"/>
          <w:color w:val="000000"/>
          <w:sz w:val="24"/>
          <w:szCs w:val="24"/>
        </w:rPr>
      </w:pPr>
      <w:r>
        <w:rPr>
          <w:rFonts w:ascii="Garamond" w:hAnsi="Garamond"/>
          <w:color w:val="000000"/>
          <w:sz w:val="24"/>
          <w:szCs w:val="24"/>
        </w:rPr>
        <w:t>A livello di articolazione aziendale, a</w:t>
      </w:r>
      <w:r w:rsidR="00C80C7D">
        <w:rPr>
          <w:rFonts w:ascii="Garamond" w:hAnsi="Garamond"/>
          <w:color w:val="000000"/>
          <w:sz w:val="24"/>
          <w:szCs w:val="24"/>
        </w:rPr>
        <w:t>d ogni Responsabile è stato chiesto di documentare le attività realizzate in attuazione degli obiettivi affidat</w:t>
      </w:r>
      <w:r w:rsidR="00D1160C">
        <w:rPr>
          <w:rFonts w:ascii="Garamond" w:hAnsi="Garamond"/>
          <w:color w:val="000000"/>
          <w:sz w:val="24"/>
          <w:szCs w:val="24"/>
        </w:rPr>
        <w:t xml:space="preserve">i. La struttura </w:t>
      </w:r>
      <w:r w:rsidR="00D1160C" w:rsidRPr="00003D0A">
        <w:rPr>
          <w:rFonts w:ascii="Garamond" w:hAnsi="Garamond"/>
          <w:sz w:val="24"/>
          <w:szCs w:val="24"/>
        </w:rPr>
        <w:t xml:space="preserve">Programmazione, Controllo, Qualità, Accreditamento e </w:t>
      </w:r>
      <w:proofErr w:type="spellStart"/>
      <w:r w:rsidR="00D1160C" w:rsidRPr="00003D0A">
        <w:rPr>
          <w:rFonts w:ascii="Garamond" w:hAnsi="Garamond"/>
          <w:sz w:val="24"/>
          <w:szCs w:val="24"/>
        </w:rPr>
        <w:t>Risk</w:t>
      </w:r>
      <w:proofErr w:type="spellEnd"/>
      <w:r w:rsidR="00D1160C" w:rsidRPr="00003D0A">
        <w:rPr>
          <w:rFonts w:ascii="Garamond" w:hAnsi="Garamond"/>
          <w:sz w:val="24"/>
          <w:szCs w:val="24"/>
        </w:rPr>
        <w:t xml:space="preserve"> Management </w:t>
      </w:r>
      <w:r w:rsidR="00C80C7D">
        <w:rPr>
          <w:rFonts w:ascii="Garamond" w:hAnsi="Garamond"/>
          <w:color w:val="000000"/>
          <w:sz w:val="24"/>
          <w:szCs w:val="24"/>
        </w:rPr>
        <w:t>ha realizzato una attività istruttoria di analisi delle azioni intraprese e dei risultati conseguiti, propedeutica alla verifica del raggiungimento degli obiettivi collegati al sistema premiante di competenza dell’OIV.</w:t>
      </w:r>
      <w:r w:rsidR="00D1160C">
        <w:rPr>
          <w:rFonts w:ascii="Garamond" w:hAnsi="Garamond"/>
          <w:color w:val="000000"/>
          <w:sz w:val="24"/>
          <w:szCs w:val="24"/>
        </w:rPr>
        <w:t xml:space="preserve"> </w:t>
      </w:r>
    </w:p>
    <w:p w:rsidR="00D1160C" w:rsidRDefault="00D1160C" w:rsidP="001F00AA">
      <w:pPr>
        <w:autoSpaceDE w:val="0"/>
        <w:autoSpaceDN w:val="0"/>
        <w:adjustRightInd w:val="0"/>
        <w:spacing w:after="0" w:line="360" w:lineRule="auto"/>
        <w:jc w:val="both"/>
        <w:rPr>
          <w:rFonts w:ascii="Garamond" w:hAnsi="Garamond"/>
          <w:color w:val="000000"/>
          <w:sz w:val="24"/>
          <w:szCs w:val="24"/>
        </w:rPr>
      </w:pPr>
      <w:r>
        <w:rPr>
          <w:rFonts w:ascii="Garamond" w:hAnsi="Garamond"/>
          <w:color w:val="000000"/>
          <w:sz w:val="24"/>
          <w:szCs w:val="24"/>
        </w:rPr>
        <w:t xml:space="preserve">La valutazione degli obiettivi della SOC </w:t>
      </w:r>
      <w:r w:rsidRPr="00003D0A">
        <w:rPr>
          <w:rFonts w:ascii="Garamond" w:hAnsi="Garamond"/>
          <w:sz w:val="24"/>
          <w:szCs w:val="24"/>
        </w:rPr>
        <w:t xml:space="preserve">Programmazione, Controllo, Qualità, Accreditamento e </w:t>
      </w:r>
      <w:proofErr w:type="spellStart"/>
      <w:r w:rsidRPr="00003D0A">
        <w:rPr>
          <w:rFonts w:ascii="Garamond" w:hAnsi="Garamond"/>
          <w:sz w:val="24"/>
          <w:szCs w:val="24"/>
        </w:rPr>
        <w:t>Risk</w:t>
      </w:r>
      <w:proofErr w:type="spellEnd"/>
      <w:r w:rsidRPr="00003D0A">
        <w:rPr>
          <w:rFonts w:ascii="Garamond" w:hAnsi="Garamond"/>
          <w:sz w:val="24"/>
          <w:szCs w:val="24"/>
        </w:rPr>
        <w:t xml:space="preserve"> Management</w:t>
      </w:r>
      <w:r>
        <w:rPr>
          <w:rFonts w:ascii="Garamond" w:hAnsi="Garamond"/>
          <w:sz w:val="24"/>
          <w:szCs w:val="24"/>
        </w:rPr>
        <w:t xml:space="preserve"> è proposta dalla Direzione Amministrativa all’OIV.</w:t>
      </w:r>
    </w:p>
    <w:p w:rsidR="001F00AA" w:rsidRDefault="001F00AA" w:rsidP="001F00AA">
      <w:pPr>
        <w:autoSpaceDE w:val="0"/>
        <w:autoSpaceDN w:val="0"/>
        <w:adjustRightInd w:val="0"/>
        <w:spacing w:after="0" w:line="360" w:lineRule="auto"/>
        <w:jc w:val="both"/>
        <w:rPr>
          <w:rFonts w:ascii="Garamond" w:hAnsi="Garamond"/>
          <w:color w:val="000000"/>
          <w:sz w:val="24"/>
          <w:szCs w:val="24"/>
        </w:rPr>
      </w:pPr>
      <w:r>
        <w:rPr>
          <w:rFonts w:ascii="Garamond" w:hAnsi="Garamond"/>
          <w:color w:val="000000"/>
          <w:sz w:val="24"/>
          <w:szCs w:val="24"/>
        </w:rPr>
        <w:t xml:space="preserve">Nella tabella seguente è evidenziato il grado di raggiungimento delle singole </w:t>
      </w:r>
      <w:r w:rsidR="00D1160C">
        <w:rPr>
          <w:rFonts w:ascii="Garamond" w:hAnsi="Garamond"/>
          <w:color w:val="000000"/>
          <w:sz w:val="24"/>
          <w:szCs w:val="24"/>
        </w:rPr>
        <w:t>articolazioni organizzative</w:t>
      </w:r>
    </w:p>
    <w:p w:rsidR="00D1160C" w:rsidRDefault="00D1160C">
      <w:pPr>
        <w:rPr>
          <w:rFonts w:eastAsia="Times New Roman" w:cs="Calibri"/>
          <w:b/>
          <w:bCs/>
          <w:color w:val="000000"/>
          <w:sz w:val="20"/>
          <w:szCs w:val="20"/>
          <w:lang w:eastAsia="it-IT"/>
        </w:rPr>
      </w:pPr>
      <w:r w:rsidRPr="00D1160C">
        <w:rPr>
          <w:rFonts w:eastAsia="Times New Roman" w:cs="Calibri"/>
          <w:b/>
          <w:bCs/>
          <w:color w:val="000000"/>
          <w:sz w:val="20"/>
          <w:szCs w:val="20"/>
          <w:lang w:eastAsia="it-IT"/>
        </w:rPr>
        <w:lastRenderedPageBreak/>
        <w:t xml:space="preserve">VALUTAZIONE OBIETTIVI </w:t>
      </w:r>
      <w:proofErr w:type="spellStart"/>
      <w:r w:rsidRPr="00D1160C">
        <w:rPr>
          <w:rFonts w:eastAsia="Times New Roman" w:cs="Calibri"/>
          <w:b/>
          <w:bCs/>
          <w:color w:val="000000"/>
          <w:sz w:val="20"/>
          <w:szCs w:val="20"/>
          <w:lang w:eastAsia="it-IT"/>
        </w:rPr>
        <w:t>DI</w:t>
      </w:r>
      <w:proofErr w:type="spellEnd"/>
      <w:r w:rsidRPr="00D1160C">
        <w:rPr>
          <w:rFonts w:eastAsia="Times New Roman" w:cs="Calibri"/>
          <w:b/>
          <w:bCs/>
          <w:color w:val="000000"/>
          <w:sz w:val="20"/>
          <w:szCs w:val="20"/>
          <w:lang w:eastAsia="it-IT"/>
        </w:rPr>
        <w:t xml:space="preserve"> BUDGET 2015</w:t>
      </w:r>
      <w:r w:rsidR="006906E2">
        <w:rPr>
          <w:rFonts w:eastAsia="Times New Roman" w:cs="Calibri"/>
          <w:b/>
          <w:bCs/>
          <w:color w:val="000000"/>
          <w:sz w:val="20"/>
          <w:szCs w:val="20"/>
          <w:lang w:eastAsia="it-IT"/>
        </w:rPr>
        <w:t xml:space="preserve"> </w:t>
      </w:r>
    </w:p>
    <w:tbl>
      <w:tblPr>
        <w:tblW w:w="9771" w:type="dxa"/>
        <w:tblInd w:w="55" w:type="dxa"/>
        <w:tblCellMar>
          <w:left w:w="70" w:type="dxa"/>
          <w:right w:w="70" w:type="dxa"/>
        </w:tblCellMar>
        <w:tblLook w:val="04A0"/>
      </w:tblPr>
      <w:tblGrid>
        <w:gridCol w:w="1320"/>
        <w:gridCol w:w="4511"/>
        <w:gridCol w:w="1272"/>
        <w:gridCol w:w="88"/>
        <w:gridCol w:w="1090"/>
        <w:gridCol w:w="210"/>
        <w:gridCol w:w="1070"/>
        <w:gridCol w:w="210"/>
      </w:tblGrid>
      <w:tr w:rsidR="006E2FD9" w:rsidRPr="006E2FD9" w:rsidTr="003F5D64">
        <w:trPr>
          <w:trHeight w:val="432"/>
        </w:trPr>
        <w:tc>
          <w:tcPr>
            <w:tcW w:w="132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 </w:t>
            </w:r>
          </w:p>
        </w:tc>
        <w:tc>
          <w:tcPr>
            <w:tcW w:w="4511" w:type="dxa"/>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b/>
                <w:bCs/>
                <w:color w:val="000000"/>
                <w:lang w:eastAsia="it-IT"/>
              </w:rPr>
            </w:pPr>
            <w:r w:rsidRPr="006E2FD9">
              <w:rPr>
                <w:rFonts w:eastAsia="Times New Roman" w:cs="Calibri"/>
                <w:b/>
                <w:bCs/>
                <w:color w:val="000000"/>
                <w:lang w:eastAsia="it-IT"/>
              </w:rPr>
              <w:t>Obiettivi di budget 2015</w:t>
            </w:r>
          </w:p>
        </w:tc>
        <w:tc>
          <w:tcPr>
            <w:tcW w:w="3940" w:type="dxa"/>
            <w:gridSpan w:val="6"/>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b/>
                <w:bCs/>
                <w:color w:val="000000"/>
                <w:lang w:eastAsia="it-IT"/>
              </w:rPr>
            </w:pPr>
            <w:r w:rsidRPr="006E2FD9">
              <w:rPr>
                <w:rFonts w:eastAsia="Times New Roman" w:cs="Calibri"/>
                <w:b/>
                <w:bCs/>
                <w:color w:val="000000"/>
                <w:lang w:eastAsia="it-IT"/>
              </w:rPr>
              <w:t>Proposta di valutazione</w:t>
            </w:r>
          </w:p>
        </w:tc>
      </w:tr>
      <w:tr w:rsidR="006E2FD9" w:rsidRPr="006E2FD9" w:rsidTr="003F5D64">
        <w:trPr>
          <w:trHeight w:val="61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b/>
                <w:color w:val="000000"/>
                <w:sz w:val="18"/>
                <w:szCs w:val="18"/>
                <w:lang w:eastAsia="it-IT"/>
              </w:rPr>
            </w:pPr>
            <w:r w:rsidRPr="006E2FD9">
              <w:rPr>
                <w:rFonts w:eastAsia="Times New Roman" w:cs="Calibri"/>
                <w:b/>
                <w:color w:val="000000"/>
                <w:sz w:val="18"/>
                <w:szCs w:val="18"/>
                <w:lang w:eastAsia="it-IT"/>
              </w:rPr>
              <w:t>Dipartimento</w:t>
            </w:r>
          </w:p>
        </w:tc>
        <w:tc>
          <w:tcPr>
            <w:tcW w:w="4511" w:type="dxa"/>
            <w:tcBorders>
              <w:top w:val="nil"/>
              <w:left w:val="single" w:sz="4" w:space="0" w:color="auto"/>
              <w:bottom w:val="nil"/>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b/>
                <w:bCs/>
                <w:color w:val="000000"/>
                <w:lang w:eastAsia="it-IT"/>
              </w:rPr>
            </w:pPr>
            <w:r w:rsidRPr="006E2FD9">
              <w:rPr>
                <w:rFonts w:eastAsia="Times New Roman" w:cs="Calibri"/>
                <w:b/>
                <w:bCs/>
                <w:color w:val="000000"/>
                <w:lang w:eastAsia="it-IT"/>
              </w:rPr>
              <w:t>SCHEDA</w:t>
            </w:r>
          </w:p>
        </w:tc>
        <w:tc>
          <w:tcPr>
            <w:tcW w:w="1360" w:type="dxa"/>
            <w:gridSpan w:val="2"/>
            <w:tcBorders>
              <w:top w:val="nil"/>
              <w:left w:val="single" w:sz="4" w:space="0" w:color="auto"/>
              <w:bottom w:val="nil"/>
              <w:right w:val="single" w:sz="4" w:space="0" w:color="auto"/>
            </w:tcBorders>
            <w:shd w:val="clear" w:color="auto" w:fill="auto"/>
            <w:vAlign w:val="bottom"/>
            <w:hideMark/>
          </w:tcPr>
          <w:p w:rsidR="006E2FD9" w:rsidRPr="006E2FD9" w:rsidRDefault="006E2FD9" w:rsidP="003F5D64">
            <w:pPr>
              <w:spacing w:after="0" w:line="240" w:lineRule="auto"/>
              <w:jc w:val="center"/>
              <w:rPr>
                <w:rFonts w:eastAsia="Times New Roman" w:cs="Calibri"/>
                <w:b/>
                <w:bCs/>
                <w:color w:val="000000"/>
                <w:lang w:eastAsia="it-IT"/>
              </w:rPr>
            </w:pPr>
            <w:r w:rsidRPr="006E2FD9">
              <w:rPr>
                <w:rFonts w:eastAsia="Times New Roman" w:cs="Calibri"/>
                <w:b/>
                <w:bCs/>
                <w:color w:val="000000"/>
                <w:lang w:eastAsia="it-IT"/>
              </w:rPr>
              <w:t xml:space="preserve">COMPARTO </w:t>
            </w:r>
          </w:p>
        </w:tc>
        <w:tc>
          <w:tcPr>
            <w:tcW w:w="1300" w:type="dxa"/>
            <w:gridSpan w:val="2"/>
            <w:tcBorders>
              <w:top w:val="nil"/>
              <w:left w:val="single" w:sz="4" w:space="0" w:color="auto"/>
              <w:bottom w:val="nil"/>
              <w:right w:val="single" w:sz="4" w:space="0" w:color="auto"/>
            </w:tcBorders>
            <w:shd w:val="clear" w:color="auto" w:fill="auto"/>
            <w:vAlign w:val="bottom"/>
            <w:hideMark/>
          </w:tcPr>
          <w:p w:rsidR="006E2FD9" w:rsidRPr="006E2FD9" w:rsidRDefault="006E2FD9" w:rsidP="003F5D64">
            <w:pPr>
              <w:spacing w:after="0" w:line="240" w:lineRule="auto"/>
              <w:jc w:val="center"/>
              <w:rPr>
                <w:rFonts w:eastAsia="Times New Roman" w:cs="Calibri"/>
                <w:b/>
                <w:bCs/>
                <w:color w:val="000000"/>
                <w:lang w:eastAsia="it-IT"/>
              </w:rPr>
            </w:pPr>
            <w:r w:rsidRPr="006E2FD9">
              <w:rPr>
                <w:rFonts w:eastAsia="Times New Roman" w:cs="Calibri"/>
                <w:b/>
                <w:bCs/>
                <w:color w:val="000000"/>
                <w:lang w:eastAsia="it-IT"/>
              </w:rPr>
              <w:t xml:space="preserve">DIRETTORE </w:t>
            </w:r>
          </w:p>
        </w:tc>
        <w:tc>
          <w:tcPr>
            <w:tcW w:w="1280" w:type="dxa"/>
            <w:gridSpan w:val="2"/>
            <w:tcBorders>
              <w:top w:val="nil"/>
              <w:left w:val="single" w:sz="4" w:space="0" w:color="auto"/>
              <w:bottom w:val="nil"/>
              <w:right w:val="single" w:sz="4" w:space="0" w:color="auto"/>
            </w:tcBorders>
            <w:shd w:val="clear" w:color="auto" w:fill="auto"/>
            <w:vAlign w:val="bottom"/>
            <w:hideMark/>
          </w:tcPr>
          <w:p w:rsidR="006E2FD9" w:rsidRPr="006E2FD9" w:rsidRDefault="006E2FD9" w:rsidP="003F5D64">
            <w:pPr>
              <w:spacing w:after="0" w:line="240" w:lineRule="auto"/>
              <w:jc w:val="center"/>
              <w:rPr>
                <w:rFonts w:eastAsia="Times New Roman" w:cs="Calibri"/>
                <w:b/>
                <w:bCs/>
                <w:color w:val="000000"/>
                <w:lang w:eastAsia="it-IT"/>
              </w:rPr>
            </w:pPr>
            <w:r w:rsidRPr="006E2FD9">
              <w:rPr>
                <w:rFonts w:eastAsia="Times New Roman" w:cs="Calibri"/>
                <w:b/>
                <w:bCs/>
                <w:color w:val="000000"/>
                <w:lang w:eastAsia="it-IT"/>
              </w:rPr>
              <w:t xml:space="preserve">DIRIGENZA </w:t>
            </w:r>
          </w:p>
        </w:tc>
      </w:tr>
      <w:tr w:rsidR="006E2FD9" w:rsidRPr="006E2FD9" w:rsidTr="003F5D64">
        <w:trPr>
          <w:trHeight w:val="300"/>
        </w:trPr>
        <w:tc>
          <w:tcPr>
            <w:tcW w:w="132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DC</w:t>
            </w:r>
          </w:p>
        </w:tc>
        <w:tc>
          <w:tcPr>
            <w:tcW w:w="4511" w:type="dxa"/>
            <w:tcBorders>
              <w:top w:val="single" w:sz="4"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Dipartimento</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Cardiologia PN</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86,90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85</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Cardiologia SV</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3F5D64">
        <w:trPr>
          <w:trHeight w:val="315"/>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 xml:space="preserve">SSD Cardiologia </w:t>
            </w:r>
            <w:proofErr w:type="spellStart"/>
            <w:r w:rsidRPr="006E2FD9">
              <w:rPr>
                <w:rFonts w:eastAsia="Times New Roman" w:cs="Calibri"/>
                <w:color w:val="000000"/>
                <w:lang w:eastAsia="it-IT"/>
              </w:rPr>
              <w:t>Riab</w:t>
            </w:r>
            <w:proofErr w:type="spellEnd"/>
            <w:r w:rsidRPr="006E2FD9">
              <w:rPr>
                <w:rFonts w:eastAsia="Times New Roman" w:cs="Calibri"/>
                <w:color w:val="000000"/>
                <w:lang w:eastAsia="it-IT"/>
              </w:rPr>
              <w:t xml:space="preserve">. </w:t>
            </w:r>
            <w:proofErr w:type="spellStart"/>
            <w:r w:rsidRPr="006E2FD9">
              <w:rPr>
                <w:rFonts w:eastAsia="Times New Roman" w:cs="Calibri"/>
                <w:color w:val="000000"/>
                <w:lang w:eastAsia="it-IT"/>
              </w:rPr>
              <w:t>Pat</w:t>
            </w:r>
            <w:proofErr w:type="spellEnd"/>
            <w:r w:rsidRPr="006E2FD9">
              <w:rPr>
                <w:rFonts w:eastAsia="Times New Roman" w:cs="Calibri"/>
                <w:color w:val="000000"/>
                <w:lang w:eastAsia="it-IT"/>
              </w:rPr>
              <w:t xml:space="preserve">. </w:t>
            </w:r>
            <w:proofErr w:type="spellStart"/>
            <w:r w:rsidRPr="006E2FD9">
              <w:rPr>
                <w:rFonts w:eastAsia="Times New Roman" w:cs="Calibri"/>
                <w:color w:val="000000"/>
                <w:lang w:eastAsia="it-IT"/>
              </w:rPr>
              <w:t>Cardiovasc</w:t>
            </w:r>
            <w:proofErr w:type="spellEnd"/>
            <w:r w:rsidRPr="006E2FD9">
              <w:rPr>
                <w:rFonts w:eastAsia="Times New Roman" w:cs="Calibri"/>
                <w:color w:val="000000"/>
                <w:lang w:eastAsia="it-IT"/>
              </w:rPr>
              <w:t>.</w:t>
            </w:r>
          </w:p>
        </w:tc>
        <w:tc>
          <w:tcPr>
            <w:tcW w:w="1360" w:type="dxa"/>
            <w:gridSpan w:val="2"/>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3F5D64">
        <w:trPr>
          <w:trHeight w:val="315"/>
        </w:trPr>
        <w:tc>
          <w:tcPr>
            <w:tcW w:w="132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DMINF</w:t>
            </w: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Dipartimento</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82,60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Dipartimento  comparto SV</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Dipartimento  comparto PN</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Ostetricia e ginecologia PN</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80,40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77,50</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 xml:space="preserve">SC Ostetricia e ginecologia SV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95,70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Pediatria e neonatologia PN</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73,90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70,00</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Pediatria SV</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r>
      <w:tr w:rsidR="006E2FD9" w:rsidRPr="006E2FD9" w:rsidTr="003F5D64">
        <w:trPr>
          <w:trHeight w:val="615"/>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single" w:sz="4" w:space="0" w:color="auto"/>
              <w:left w:val="nil"/>
              <w:bottom w:val="double" w:sz="6" w:space="0" w:color="auto"/>
              <w:right w:val="single" w:sz="4" w:space="0" w:color="auto"/>
            </w:tcBorders>
            <w:shd w:val="clear" w:color="auto" w:fill="auto"/>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 xml:space="preserve">SSD </w:t>
            </w:r>
            <w:proofErr w:type="spellStart"/>
            <w:r w:rsidRPr="006E2FD9">
              <w:rPr>
                <w:rFonts w:eastAsia="Times New Roman" w:cs="Calibri"/>
                <w:color w:val="000000"/>
                <w:lang w:eastAsia="it-IT"/>
              </w:rPr>
              <w:t>Fisiop</w:t>
            </w:r>
            <w:proofErr w:type="spellEnd"/>
            <w:r w:rsidRPr="006E2FD9">
              <w:rPr>
                <w:rFonts w:eastAsia="Times New Roman" w:cs="Calibri"/>
                <w:color w:val="000000"/>
                <w:lang w:eastAsia="it-IT"/>
              </w:rPr>
              <w:t xml:space="preserve">. </w:t>
            </w:r>
            <w:proofErr w:type="spellStart"/>
            <w:r w:rsidRPr="006E2FD9">
              <w:rPr>
                <w:rFonts w:eastAsia="Times New Roman" w:cs="Calibri"/>
                <w:color w:val="000000"/>
                <w:lang w:eastAsia="it-IT"/>
              </w:rPr>
              <w:t>Riprod</w:t>
            </w:r>
            <w:proofErr w:type="spellEnd"/>
            <w:r w:rsidRPr="006E2FD9">
              <w:rPr>
                <w:rFonts w:eastAsia="Times New Roman" w:cs="Calibri"/>
                <w:color w:val="000000"/>
                <w:lang w:eastAsia="it-IT"/>
              </w:rPr>
              <w:t>. Umana e banca del seme e degli ovociti</w:t>
            </w:r>
          </w:p>
        </w:tc>
        <w:tc>
          <w:tcPr>
            <w:tcW w:w="1360" w:type="dxa"/>
            <w:gridSpan w:val="2"/>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3F5D64">
        <w:trPr>
          <w:trHeight w:val="315"/>
        </w:trPr>
        <w:tc>
          <w:tcPr>
            <w:tcW w:w="132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xml:space="preserve">DMI </w:t>
            </w: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Dipartimento</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gridSpan w:val="2"/>
            <w:tcBorders>
              <w:top w:val="double" w:sz="6"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double" w:sz="6"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Medicina interna 1 PN</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Medicina interna 2 PN</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Medicina interna e post acuzie Sacile</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Medicina interna Spilimbergo</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Medicina interna San Vito</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SSD Day hospital</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nil"/>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SSD Endocrinologia</w:t>
            </w:r>
          </w:p>
        </w:tc>
        <w:tc>
          <w:tcPr>
            <w:tcW w:w="1360" w:type="dxa"/>
            <w:gridSpan w:val="2"/>
            <w:tcBorders>
              <w:top w:val="nil"/>
              <w:left w:val="nil"/>
              <w:bottom w:val="nil"/>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3F5D64">
        <w:trPr>
          <w:trHeight w:val="315"/>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SSD Diabetologia</w:t>
            </w:r>
          </w:p>
        </w:tc>
        <w:tc>
          <w:tcPr>
            <w:tcW w:w="1360" w:type="dxa"/>
            <w:gridSpan w:val="2"/>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3F5D64">
        <w:trPr>
          <w:trHeight w:val="315"/>
        </w:trPr>
        <w:tc>
          <w:tcPr>
            <w:tcW w:w="132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DMS</w:t>
            </w: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Dipartimento</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Nefrologia e dialisi</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69,60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65</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Pneumologia</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78,30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80</w:t>
            </w:r>
          </w:p>
        </w:tc>
      </w:tr>
      <w:tr w:rsidR="006E2FD9" w:rsidRPr="006E2FD9" w:rsidTr="003F5D64">
        <w:trPr>
          <w:trHeight w:val="315"/>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Oncologia PN</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3F5D64">
        <w:trPr>
          <w:trHeight w:val="33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Oncologia San Vito</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3F5D64">
        <w:trPr>
          <w:trHeight w:val="33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Dermatologia</w:t>
            </w:r>
          </w:p>
        </w:tc>
        <w:tc>
          <w:tcPr>
            <w:tcW w:w="1360" w:type="dxa"/>
            <w:gridSpan w:val="2"/>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3F5D64">
        <w:trPr>
          <w:trHeight w:val="315"/>
        </w:trPr>
        <w:tc>
          <w:tcPr>
            <w:tcW w:w="132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DMRN</w:t>
            </w: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Dipartimento</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gridSpan w:val="2"/>
            <w:tcBorders>
              <w:top w:val="nil"/>
              <w:left w:val="single" w:sz="4" w:space="0" w:color="auto"/>
              <w:bottom w:val="nil"/>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Medicina Riabilitativa PN Sacile</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Medicina Riabilitativa SV SP</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3F5D64">
        <w:trPr>
          <w:trHeight w:val="315"/>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Neurologia</w:t>
            </w:r>
          </w:p>
        </w:tc>
        <w:tc>
          <w:tcPr>
            <w:tcW w:w="1360" w:type="dxa"/>
            <w:gridSpan w:val="2"/>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3F5D64">
        <w:trPr>
          <w:trHeight w:val="315"/>
        </w:trPr>
        <w:tc>
          <w:tcPr>
            <w:tcW w:w="132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DCG</w:t>
            </w: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Dipartimento</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gridSpan w:val="2"/>
            <w:tcBorders>
              <w:top w:val="double" w:sz="6"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Chirurgia 1 Pordenone</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73,90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75,0</w:t>
            </w:r>
          </w:p>
        </w:tc>
      </w:tr>
      <w:tr w:rsidR="006E2FD9" w:rsidRPr="006E2FD9" w:rsidTr="003F5D64">
        <w:trPr>
          <w:trHeight w:val="300"/>
        </w:trPr>
        <w:tc>
          <w:tcPr>
            <w:tcW w:w="1320" w:type="dxa"/>
            <w:vMerge/>
            <w:tcBorders>
              <w:top w:val="nil"/>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Chirurgia 2 Pordenone</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54,80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60,5</w:t>
            </w:r>
          </w:p>
        </w:tc>
      </w:tr>
      <w:tr w:rsidR="003F5D64" w:rsidRPr="006E2FD9" w:rsidTr="003F5D64">
        <w:trPr>
          <w:gridAfter w:val="1"/>
          <w:wAfter w:w="210" w:type="dxa"/>
          <w:trHeight w:val="300"/>
        </w:trPr>
        <w:tc>
          <w:tcPr>
            <w:tcW w:w="1320" w:type="dxa"/>
            <w:tcBorders>
              <w:top w:val="single" w:sz="4" w:space="0" w:color="auto"/>
              <w:left w:val="single" w:sz="4" w:space="0" w:color="auto"/>
              <w:bottom w:val="single" w:sz="4" w:space="0" w:color="auto"/>
              <w:right w:val="single" w:sz="4" w:space="0" w:color="auto"/>
            </w:tcBorders>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lastRenderedPageBreak/>
              <w:t> </w:t>
            </w:r>
          </w:p>
        </w:tc>
        <w:tc>
          <w:tcPr>
            <w:tcW w:w="4511" w:type="dxa"/>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b/>
                <w:bCs/>
                <w:color w:val="000000"/>
                <w:lang w:eastAsia="it-IT"/>
              </w:rPr>
            </w:pPr>
            <w:r w:rsidRPr="006E2FD9">
              <w:rPr>
                <w:rFonts w:eastAsia="Times New Roman" w:cs="Calibri"/>
                <w:b/>
                <w:bCs/>
                <w:color w:val="000000"/>
                <w:lang w:eastAsia="it-IT"/>
              </w:rPr>
              <w:t>Obiettivi di budget 2015</w:t>
            </w:r>
          </w:p>
        </w:tc>
        <w:tc>
          <w:tcPr>
            <w:tcW w:w="3730" w:type="dxa"/>
            <w:gridSpan w:val="5"/>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b/>
                <w:bCs/>
                <w:color w:val="000000"/>
                <w:lang w:eastAsia="it-IT"/>
              </w:rPr>
            </w:pPr>
            <w:r w:rsidRPr="006E2FD9">
              <w:rPr>
                <w:rFonts w:eastAsia="Times New Roman" w:cs="Calibri"/>
                <w:b/>
                <w:bCs/>
                <w:color w:val="000000"/>
                <w:lang w:eastAsia="it-IT"/>
              </w:rPr>
              <w:t>Proposta di valutazione</w:t>
            </w:r>
          </w:p>
        </w:tc>
      </w:tr>
      <w:tr w:rsidR="003F5D64" w:rsidRPr="006E2FD9" w:rsidTr="003F5D64">
        <w:trPr>
          <w:gridAfter w:val="1"/>
          <w:wAfter w:w="210" w:type="dxa"/>
          <w:trHeight w:val="529"/>
        </w:trPr>
        <w:tc>
          <w:tcPr>
            <w:tcW w:w="1320" w:type="dxa"/>
            <w:tcBorders>
              <w:top w:val="single" w:sz="4" w:space="0" w:color="auto"/>
              <w:left w:val="single" w:sz="4" w:space="0" w:color="auto"/>
              <w:bottom w:val="single" w:sz="4" w:space="0" w:color="auto"/>
              <w:right w:val="single" w:sz="4" w:space="0" w:color="auto"/>
            </w:tcBorders>
            <w:vAlign w:val="bottom"/>
            <w:hideMark/>
          </w:tcPr>
          <w:p w:rsidR="003F5D64" w:rsidRPr="006E2FD9" w:rsidRDefault="003F5D64" w:rsidP="00A96F21">
            <w:pPr>
              <w:spacing w:after="0" w:line="240" w:lineRule="auto"/>
              <w:rPr>
                <w:rFonts w:eastAsia="Times New Roman" w:cs="Calibri"/>
                <w:b/>
                <w:color w:val="000000"/>
                <w:sz w:val="18"/>
                <w:szCs w:val="18"/>
                <w:lang w:eastAsia="it-IT"/>
              </w:rPr>
            </w:pPr>
            <w:r w:rsidRPr="006E2FD9">
              <w:rPr>
                <w:rFonts w:eastAsia="Times New Roman" w:cs="Calibri"/>
                <w:b/>
                <w:color w:val="000000"/>
                <w:sz w:val="18"/>
                <w:szCs w:val="18"/>
                <w:lang w:eastAsia="it-IT"/>
              </w:rPr>
              <w:t>Dipartimento</w:t>
            </w:r>
          </w:p>
        </w:tc>
        <w:tc>
          <w:tcPr>
            <w:tcW w:w="4511" w:type="dxa"/>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b/>
                <w:bCs/>
                <w:color w:val="000000"/>
                <w:lang w:eastAsia="it-IT"/>
              </w:rPr>
            </w:pPr>
            <w:r w:rsidRPr="006E2FD9">
              <w:rPr>
                <w:rFonts w:eastAsia="Times New Roman" w:cs="Calibri"/>
                <w:b/>
                <w:bCs/>
                <w:color w:val="000000"/>
                <w:lang w:eastAsia="it-IT"/>
              </w:rPr>
              <w:t>SCHEDA</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3F5D64">
            <w:pPr>
              <w:spacing w:after="0" w:line="240" w:lineRule="auto"/>
              <w:jc w:val="center"/>
              <w:rPr>
                <w:rFonts w:eastAsia="Times New Roman" w:cs="Calibri"/>
                <w:b/>
                <w:bCs/>
                <w:color w:val="000000"/>
                <w:lang w:eastAsia="it-IT"/>
              </w:rPr>
            </w:pPr>
            <w:r w:rsidRPr="006E2FD9">
              <w:rPr>
                <w:rFonts w:eastAsia="Times New Roman" w:cs="Calibri"/>
                <w:b/>
                <w:bCs/>
                <w:color w:val="000000"/>
                <w:lang w:eastAsia="it-IT"/>
              </w:rPr>
              <w:t xml:space="preserve">COMPARTO </w:t>
            </w:r>
          </w:p>
        </w:tc>
        <w:tc>
          <w:tcPr>
            <w:tcW w:w="11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3F5D64">
            <w:pPr>
              <w:spacing w:after="0" w:line="240" w:lineRule="auto"/>
              <w:jc w:val="center"/>
              <w:rPr>
                <w:rFonts w:eastAsia="Times New Roman" w:cs="Calibri"/>
                <w:b/>
                <w:bCs/>
                <w:color w:val="000000"/>
                <w:lang w:eastAsia="it-IT"/>
              </w:rPr>
            </w:pPr>
            <w:r w:rsidRPr="006E2FD9">
              <w:rPr>
                <w:rFonts w:eastAsia="Times New Roman" w:cs="Calibri"/>
                <w:b/>
                <w:bCs/>
                <w:color w:val="000000"/>
                <w:lang w:eastAsia="it-IT"/>
              </w:rPr>
              <w:t xml:space="preserve">DIRETTORE </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3F5D64">
            <w:pPr>
              <w:spacing w:after="0" w:line="240" w:lineRule="auto"/>
              <w:jc w:val="center"/>
              <w:rPr>
                <w:rFonts w:eastAsia="Times New Roman" w:cs="Calibri"/>
                <w:b/>
                <w:bCs/>
                <w:color w:val="000000"/>
                <w:lang w:eastAsia="it-IT"/>
              </w:rPr>
            </w:pPr>
            <w:r w:rsidRPr="006E2FD9">
              <w:rPr>
                <w:rFonts w:eastAsia="Times New Roman" w:cs="Calibri"/>
                <w:b/>
                <w:bCs/>
                <w:color w:val="000000"/>
                <w:lang w:eastAsia="it-IT"/>
              </w:rPr>
              <w:t xml:space="preserve">DIRIGENZA </w:t>
            </w:r>
          </w:p>
        </w:tc>
      </w:tr>
      <w:tr w:rsidR="003F5D64" w:rsidRPr="006E2FD9" w:rsidTr="003F5D64">
        <w:trPr>
          <w:gridAfter w:val="1"/>
          <w:wAfter w:w="210" w:type="dxa"/>
          <w:trHeight w:val="300"/>
        </w:trPr>
        <w:tc>
          <w:tcPr>
            <w:tcW w:w="1320" w:type="dxa"/>
            <w:vMerge w:val="restart"/>
            <w:tcBorders>
              <w:top w:val="single" w:sz="4" w:space="0" w:color="auto"/>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jc w:val="center"/>
              <w:rPr>
                <w:rFonts w:eastAsia="Times New Roman" w:cs="Calibri"/>
                <w:color w:val="000000"/>
                <w:lang w:eastAsia="it-IT"/>
              </w:rPr>
            </w:pPr>
            <w:r>
              <w:rPr>
                <w:rFonts w:eastAsia="Times New Roman" w:cs="Calibri"/>
                <w:color w:val="000000"/>
                <w:lang w:eastAsia="it-IT"/>
              </w:rPr>
              <w:t>DCG</w:t>
            </w:r>
          </w:p>
        </w:tc>
        <w:tc>
          <w:tcPr>
            <w:tcW w:w="4511" w:type="dxa"/>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Urologia</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59,80</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58,8</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Chirurgia Spilimbergo</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82,60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90</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Chirurgia San Vito</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91,30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90</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Gastroenterologia</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3F5D64">
        <w:trPr>
          <w:gridAfter w:val="1"/>
          <w:wAfter w:w="210" w:type="dxa"/>
          <w:trHeight w:val="315"/>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SSD Degenza Breve</w:t>
            </w:r>
          </w:p>
        </w:tc>
        <w:tc>
          <w:tcPr>
            <w:tcW w:w="1272" w:type="dxa"/>
            <w:tcBorders>
              <w:top w:val="single" w:sz="4" w:space="0" w:color="auto"/>
              <w:left w:val="nil"/>
              <w:bottom w:val="double" w:sz="6" w:space="0" w:color="auto"/>
              <w:right w:val="single" w:sz="4" w:space="0" w:color="000000"/>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p>
        </w:tc>
        <w:tc>
          <w:tcPr>
            <w:tcW w:w="1178" w:type="dxa"/>
            <w:gridSpan w:val="2"/>
            <w:tcBorders>
              <w:top w:val="single" w:sz="4" w:space="0" w:color="auto"/>
              <w:left w:val="nil"/>
              <w:bottom w:val="double" w:sz="6" w:space="0" w:color="auto"/>
              <w:right w:val="single" w:sz="4" w:space="0" w:color="000000"/>
            </w:tcBorders>
            <w:shd w:val="clear" w:color="auto" w:fill="auto"/>
            <w:vAlign w:val="bottom"/>
          </w:tcPr>
          <w:p w:rsidR="003F5D64" w:rsidRPr="006E2FD9" w:rsidRDefault="003F5D64" w:rsidP="00A96F21">
            <w:pPr>
              <w:spacing w:after="0" w:line="240" w:lineRule="auto"/>
              <w:jc w:val="center"/>
              <w:rPr>
                <w:rFonts w:eastAsia="Times New Roman" w:cs="Calibri"/>
                <w:color w:val="000000"/>
                <w:lang w:eastAsia="it-IT"/>
              </w:rPr>
            </w:pPr>
            <w:r>
              <w:rPr>
                <w:rFonts w:eastAsia="Times New Roman" w:cs="Calibri"/>
                <w:color w:val="000000"/>
                <w:lang w:eastAsia="it-IT"/>
              </w:rPr>
              <w:t>100,00</w:t>
            </w:r>
          </w:p>
        </w:tc>
        <w:tc>
          <w:tcPr>
            <w:tcW w:w="1280" w:type="dxa"/>
            <w:gridSpan w:val="2"/>
            <w:tcBorders>
              <w:top w:val="single" w:sz="4" w:space="0" w:color="auto"/>
              <w:left w:val="nil"/>
              <w:bottom w:val="double" w:sz="6" w:space="0" w:color="auto"/>
              <w:right w:val="single" w:sz="4" w:space="0" w:color="000000"/>
            </w:tcBorders>
            <w:shd w:val="clear" w:color="auto" w:fill="auto"/>
            <w:vAlign w:val="bottom"/>
          </w:tcPr>
          <w:p w:rsidR="003F5D64" w:rsidRPr="006E2FD9" w:rsidRDefault="003F5D64" w:rsidP="00A96F21">
            <w:pPr>
              <w:spacing w:after="0" w:line="240" w:lineRule="auto"/>
              <w:jc w:val="center"/>
              <w:rPr>
                <w:rFonts w:eastAsia="Times New Roman" w:cs="Calibri"/>
                <w:color w:val="000000"/>
                <w:lang w:eastAsia="it-IT"/>
              </w:rPr>
            </w:pPr>
          </w:p>
        </w:tc>
      </w:tr>
      <w:tr w:rsidR="003F5D64" w:rsidRPr="006E2FD9" w:rsidTr="003F5D64">
        <w:trPr>
          <w:gridAfter w:val="1"/>
          <w:wAfter w:w="210" w:type="dxa"/>
          <w:trHeight w:val="315"/>
        </w:trPr>
        <w:tc>
          <w:tcPr>
            <w:tcW w:w="132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DCS</w:t>
            </w: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Dipartimento</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96,7</w:t>
            </w:r>
          </w:p>
        </w:tc>
        <w:tc>
          <w:tcPr>
            <w:tcW w:w="1178" w:type="dxa"/>
            <w:gridSpan w:val="2"/>
            <w:tcBorders>
              <w:top w:val="nil"/>
              <w:left w:val="single" w:sz="4" w:space="0" w:color="auto"/>
              <w:bottom w:val="nil"/>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92,80</w:t>
            </w:r>
          </w:p>
        </w:tc>
        <w:tc>
          <w:tcPr>
            <w:tcW w:w="1280" w:type="dxa"/>
            <w:gridSpan w:val="2"/>
            <w:tcBorders>
              <w:top w:val="nil"/>
              <w:left w:val="single" w:sz="4" w:space="0" w:color="auto"/>
              <w:bottom w:val="nil"/>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Ortopedia e Traumatologia PN</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76,10</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72,50</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Ortopedia e Traumatologia SV SP</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91,30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 xml:space="preserve">SC Ortopedia e </w:t>
            </w:r>
            <w:proofErr w:type="spellStart"/>
            <w:r w:rsidRPr="006E2FD9">
              <w:rPr>
                <w:rFonts w:eastAsia="Times New Roman" w:cs="Calibri"/>
                <w:color w:val="000000"/>
                <w:lang w:eastAsia="it-IT"/>
              </w:rPr>
              <w:t>Traum</w:t>
            </w:r>
            <w:proofErr w:type="spellEnd"/>
            <w:r w:rsidRPr="006E2FD9">
              <w:rPr>
                <w:rFonts w:eastAsia="Times New Roman" w:cs="Calibri"/>
                <w:color w:val="000000"/>
                <w:lang w:eastAsia="it-IT"/>
              </w:rPr>
              <w:t xml:space="preserve">.Medici SV </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90,00</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 xml:space="preserve">SC Ortopedia e </w:t>
            </w:r>
            <w:proofErr w:type="spellStart"/>
            <w:r w:rsidRPr="006E2FD9">
              <w:rPr>
                <w:rFonts w:eastAsia="Times New Roman" w:cs="Calibri"/>
                <w:color w:val="000000"/>
                <w:lang w:eastAsia="it-IT"/>
              </w:rPr>
              <w:t>Traum</w:t>
            </w:r>
            <w:proofErr w:type="spellEnd"/>
            <w:r w:rsidRPr="006E2FD9">
              <w:rPr>
                <w:rFonts w:eastAsia="Times New Roman" w:cs="Calibri"/>
                <w:color w:val="000000"/>
                <w:lang w:eastAsia="it-IT"/>
              </w:rPr>
              <w:t xml:space="preserve">.Medici SP </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70,00</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ORL PN</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single" w:sz="4" w:space="0" w:color="auto"/>
              <w:bottom w:val="nil"/>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single" w:sz="4" w:space="0" w:color="auto"/>
              <w:bottom w:val="nil"/>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ORL SV</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93,50</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92,5</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Oculistica</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82,60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85</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 xml:space="preserve">SC Chirurgia Maxillo </w:t>
            </w:r>
            <w:proofErr w:type="spellStart"/>
            <w:r w:rsidRPr="006E2FD9">
              <w:rPr>
                <w:rFonts w:eastAsia="Times New Roman" w:cs="Calibri"/>
                <w:color w:val="000000"/>
                <w:lang w:eastAsia="it-IT"/>
              </w:rPr>
              <w:t>facc.le</w:t>
            </w:r>
            <w:proofErr w:type="spellEnd"/>
            <w:r w:rsidRPr="006E2FD9">
              <w:rPr>
                <w:rFonts w:eastAsia="Times New Roman" w:cs="Calibri"/>
                <w:color w:val="000000"/>
                <w:lang w:eastAsia="it-IT"/>
              </w:rPr>
              <w:t xml:space="preserve"> e </w:t>
            </w:r>
            <w:proofErr w:type="spellStart"/>
            <w:r w:rsidRPr="006E2FD9">
              <w:rPr>
                <w:rFonts w:eastAsia="Times New Roman" w:cs="Calibri"/>
                <w:color w:val="000000"/>
                <w:lang w:eastAsia="it-IT"/>
              </w:rPr>
              <w:t>odont</w:t>
            </w:r>
            <w:proofErr w:type="spellEnd"/>
            <w:r w:rsidRPr="006E2FD9">
              <w:rPr>
                <w:rFonts w:eastAsia="Times New Roman" w:cs="Calibri"/>
                <w:color w:val="000000"/>
                <w:lang w:eastAsia="it-IT"/>
              </w:rPr>
              <w:t>.</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3F5D64">
        <w:trPr>
          <w:gridAfter w:val="1"/>
          <w:wAfter w:w="210" w:type="dxa"/>
          <w:trHeight w:val="315"/>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Chirurgia della mano</w:t>
            </w:r>
          </w:p>
        </w:tc>
        <w:tc>
          <w:tcPr>
            <w:tcW w:w="1272"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97,10</w:t>
            </w:r>
          </w:p>
        </w:tc>
        <w:tc>
          <w:tcPr>
            <w:tcW w:w="1280" w:type="dxa"/>
            <w:gridSpan w:val="2"/>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96,7</w:t>
            </w:r>
          </w:p>
        </w:tc>
      </w:tr>
      <w:tr w:rsidR="003F5D64" w:rsidRPr="006E2FD9" w:rsidTr="003F5D64">
        <w:trPr>
          <w:gridAfter w:val="1"/>
          <w:wAfter w:w="210" w:type="dxa"/>
          <w:trHeight w:val="315"/>
        </w:trPr>
        <w:tc>
          <w:tcPr>
            <w:tcW w:w="132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DEM</w:t>
            </w: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Dipartimento</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178" w:type="dxa"/>
            <w:gridSpan w:val="2"/>
            <w:tcBorders>
              <w:top w:val="double" w:sz="6" w:space="0" w:color="auto"/>
              <w:left w:val="single" w:sz="4" w:space="0" w:color="auto"/>
              <w:bottom w:val="nil"/>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Anestesia e Rianimazione PN</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Anestesia e Rianimazione SV</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 xml:space="preserve">SC Rianimazione e </w:t>
            </w:r>
            <w:proofErr w:type="spellStart"/>
            <w:r w:rsidRPr="006E2FD9">
              <w:rPr>
                <w:rFonts w:eastAsia="Times New Roman" w:cs="Calibri"/>
                <w:color w:val="000000"/>
                <w:lang w:eastAsia="it-IT"/>
              </w:rPr>
              <w:t>T.I.</w:t>
            </w:r>
            <w:proofErr w:type="spellEnd"/>
            <w:r w:rsidRPr="006E2FD9">
              <w:rPr>
                <w:rFonts w:eastAsia="Times New Roman" w:cs="Calibri"/>
                <w:color w:val="000000"/>
                <w:lang w:eastAsia="it-IT"/>
              </w:rPr>
              <w:t xml:space="preserve"> PN</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Pronto soccorso e Medicina d'urgenza PN</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 xml:space="preserve">SC Pronto soccorso e </w:t>
            </w:r>
            <w:proofErr w:type="spellStart"/>
            <w:r w:rsidRPr="006E2FD9">
              <w:rPr>
                <w:rFonts w:eastAsia="Times New Roman" w:cs="Calibri"/>
                <w:color w:val="000000"/>
                <w:lang w:eastAsia="it-IT"/>
              </w:rPr>
              <w:t>medicia</w:t>
            </w:r>
            <w:proofErr w:type="spellEnd"/>
            <w:r w:rsidRPr="006E2FD9">
              <w:rPr>
                <w:rFonts w:eastAsia="Times New Roman" w:cs="Calibri"/>
                <w:color w:val="000000"/>
                <w:lang w:eastAsia="it-IT"/>
              </w:rPr>
              <w:t xml:space="preserve"> d'urgenza SV</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3F5D64">
        <w:trPr>
          <w:gridAfter w:val="1"/>
          <w:wAfter w:w="210" w:type="dxa"/>
          <w:trHeight w:val="315"/>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SSD Organizzazione dei blocchi operatori aziendali</w:t>
            </w:r>
          </w:p>
        </w:tc>
        <w:tc>
          <w:tcPr>
            <w:tcW w:w="1272"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3F5D64" w:rsidRPr="006E2FD9" w:rsidTr="003F5D64">
        <w:trPr>
          <w:gridAfter w:val="1"/>
          <w:wAfter w:w="210" w:type="dxa"/>
          <w:trHeight w:val="330"/>
        </w:trPr>
        <w:tc>
          <w:tcPr>
            <w:tcW w:w="132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xml:space="preserve"> DDI</w:t>
            </w: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Dipartimento</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178" w:type="dxa"/>
            <w:gridSpan w:val="2"/>
            <w:tcBorders>
              <w:top w:val="double" w:sz="6" w:space="0" w:color="auto"/>
              <w:left w:val="single" w:sz="4" w:space="0" w:color="auto"/>
              <w:bottom w:val="nil"/>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3F5D64" w:rsidRPr="006E2FD9" w:rsidTr="003F5D64">
        <w:trPr>
          <w:gridAfter w:val="1"/>
          <w:wAfter w:w="210" w:type="dxa"/>
          <w:trHeight w:val="315"/>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Radiologia interventistica</w:t>
            </w:r>
          </w:p>
        </w:tc>
        <w:tc>
          <w:tcPr>
            <w:tcW w:w="1272"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1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Radiodiagnostica SV SP Maniago</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Radiodiagnostica PN</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3F5D64">
        <w:trPr>
          <w:gridAfter w:val="1"/>
          <w:wAfter w:w="210" w:type="dxa"/>
          <w:trHeight w:val="315"/>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Medicina Nucleare</w:t>
            </w:r>
          </w:p>
        </w:tc>
        <w:tc>
          <w:tcPr>
            <w:tcW w:w="1272"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3F5D64">
        <w:trPr>
          <w:gridAfter w:val="1"/>
          <w:wAfter w:w="210" w:type="dxa"/>
          <w:trHeight w:val="315"/>
        </w:trPr>
        <w:tc>
          <w:tcPr>
            <w:tcW w:w="132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DML</w:t>
            </w: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Dipartimento</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178" w:type="dxa"/>
            <w:gridSpan w:val="2"/>
            <w:tcBorders>
              <w:top w:val="double" w:sz="6" w:space="0" w:color="auto"/>
              <w:left w:val="single" w:sz="4" w:space="0" w:color="auto"/>
              <w:bottom w:val="nil"/>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Anatomia e istologia</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Microbiologia Clinica e Virologia</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SSD Allergologia e immunologia clinic</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Patologia clinica</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3F5D64">
        <w:trPr>
          <w:gridAfter w:val="1"/>
          <w:wAfter w:w="210" w:type="dxa"/>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 xml:space="preserve">SSD Citogenetica e </w:t>
            </w:r>
            <w:proofErr w:type="spellStart"/>
            <w:r w:rsidRPr="006E2FD9">
              <w:rPr>
                <w:rFonts w:eastAsia="Times New Roman" w:cs="Calibri"/>
                <w:color w:val="000000"/>
                <w:lang w:eastAsia="it-IT"/>
              </w:rPr>
              <w:t>Biol.molecolare</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3F5D64">
        <w:trPr>
          <w:gridAfter w:val="1"/>
          <w:wAfter w:w="210" w:type="dxa"/>
          <w:trHeight w:val="315"/>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SSD Medicina di laboratorio SV</w:t>
            </w:r>
          </w:p>
        </w:tc>
        <w:tc>
          <w:tcPr>
            <w:tcW w:w="1272"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95,70</w:t>
            </w:r>
          </w:p>
        </w:tc>
        <w:tc>
          <w:tcPr>
            <w:tcW w:w="1280" w:type="dxa"/>
            <w:gridSpan w:val="2"/>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3F5D64">
        <w:trPr>
          <w:gridAfter w:val="1"/>
          <w:wAfter w:w="210" w:type="dxa"/>
          <w:trHeight w:val="315"/>
        </w:trPr>
        <w:tc>
          <w:tcPr>
            <w:tcW w:w="1320" w:type="dxa"/>
            <w:tcBorders>
              <w:top w:val="nil"/>
              <w:left w:val="single" w:sz="4" w:space="0" w:color="auto"/>
              <w:bottom w:val="double" w:sz="6" w:space="0" w:color="000000"/>
              <w:right w:val="single" w:sz="4" w:space="0" w:color="auto"/>
            </w:tcBorders>
            <w:shd w:val="clear" w:color="auto" w:fill="auto"/>
            <w:noWrap/>
            <w:vAlign w:val="center"/>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DMT</w:t>
            </w: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Dipartimento trasfusionale</w:t>
            </w:r>
          </w:p>
        </w:tc>
        <w:tc>
          <w:tcPr>
            <w:tcW w:w="1272"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178" w:type="dxa"/>
            <w:gridSpan w:val="2"/>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bl>
    <w:p w:rsidR="006E2FD9" w:rsidRDefault="006E2FD9"/>
    <w:p w:rsidR="006E2FD9" w:rsidRDefault="006E2FD9"/>
    <w:tbl>
      <w:tblPr>
        <w:tblW w:w="9771" w:type="dxa"/>
        <w:tblInd w:w="55" w:type="dxa"/>
        <w:tblCellMar>
          <w:left w:w="70" w:type="dxa"/>
          <w:right w:w="70" w:type="dxa"/>
        </w:tblCellMar>
        <w:tblLook w:val="04A0"/>
      </w:tblPr>
      <w:tblGrid>
        <w:gridCol w:w="1320"/>
        <w:gridCol w:w="4511"/>
        <w:gridCol w:w="1360"/>
        <w:gridCol w:w="1300"/>
        <w:gridCol w:w="1280"/>
      </w:tblGrid>
      <w:tr w:rsidR="003F5D64" w:rsidRPr="006E2FD9" w:rsidTr="00A96F21">
        <w:trPr>
          <w:trHeight w:val="315"/>
        </w:trPr>
        <w:tc>
          <w:tcPr>
            <w:tcW w:w="1320" w:type="dxa"/>
            <w:tcBorders>
              <w:top w:val="single" w:sz="4" w:space="0" w:color="auto"/>
              <w:left w:val="single" w:sz="4" w:space="0" w:color="auto"/>
              <w:bottom w:val="single" w:sz="4" w:space="0" w:color="auto"/>
              <w:right w:val="single" w:sz="4" w:space="0" w:color="auto"/>
            </w:tcBorders>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 </w:t>
            </w:r>
          </w:p>
        </w:tc>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b/>
                <w:bCs/>
                <w:color w:val="000000"/>
                <w:lang w:eastAsia="it-IT"/>
              </w:rPr>
            </w:pPr>
            <w:r w:rsidRPr="006E2FD9">
              <w:rPr>
                <w:rFonts w:eastAsia="Times New Roman" w:cs="Calibri"/>
                <w:b/>
                <w:bCs/>
                <w:color w:val="000000"/>
                <w:lang w:eastAsia="it-IT"/>
              </w:rPr>
              <w:t>Obiettivi di budget 2015</w:t>
            </w:r>
          </w:p>
        </w:tc>
        <w:tc>
          <w:tcPr>
            <w:tcW w:w="39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b/>
                <w:bCs/>
                <w:color w:val="000000"/>
                <w:lang w:eastAsia="it-IT"/>
              </w:rPr>
            </w:pPr>
            <w:r w:rsidRPr="006E2FD9">
              <w:rPr>
                <w:rFonts w:eastAsia="Times New Roman" w:cs="Calibri"/>
                <w:b/>
                <w:bCs/>
                <w:color w:val="000000"/>
                <w:lang w:eastAsia="it-IT"/>
              </w:rPr>
              <w:t>Proposta di valutazione</w:t>
            </w:r>
          </w:p>
        </w:tc>
      </w:tr>
      <w:tr w:rsidR="003F5D64" w:rsidRPr="006E2FD9" w:rsidTr="003F5D64">
        <w:trPr>
          <w:trHeight w:val="436"/>
        </w:trPr>
        <w:tc>
          <w:tcPr>
            <w:tcW w:w="1320" w:type="dxa"/>
            <w:tcBorders>
              <w:top w:val="single" w:sz="4" w:space="0" w:color="auto"/>
              <w:left w:val="single" w:sz="4" w:space="0" w:color="auto"/>
              <w:bottom w:val="single" w:sz="4" w:space="0" w:color="auto"/>
              <w:right w:val="single" w:sz="4" w:space="0" w:color="auto"/>
            </w:tcBorders>
            <w:vAlign w:val="bottom"/>
            <w:hideMark/>
          </w:tcPr>
          <w:p w:rsidR="003F5D64" w:rsidRPr="006E2FD9" w:rsidRDefault="003F5D64" w:rsidP="00A96F21">
            <w:pPr>
              <w:spacing w:after="0" w:line="240" w:lineRule="auto"/>
              <w:rPr>
                <w:rFonts w:eastAsia="Times New Roman" w:cs="Calibri"/>
                <w:b/>
                <w:color w:val="000000"/>
                <w:sz w:val="18"/>
                <w:szCs w:val="18"/>
                <w:lang w:eastAsia="it-IT"/>
              </w:rPr>
            </w:pPr>
            <w:r w:rsidRPr="006E2FD9">
              <w:rPr>
                <w:rFonts w:eastAsia="Times New Roman" w:cs="Calibri"/>
                <w:b/>
                <w:color w:val="000000"/>
                <w:sz w:val="18"/>
                <w:szCs w:val="18"/>
                <w:lang w:eastAsia="it-IT"/>
              </w:rPr>
              <w:t>Dipartimento</w:t>
            </w:r>
          </w:p>
        </w:tc>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b/>
                <w:bCs/>
                <w:color w:val="000000"/>
                <w:lang w:eastAsia="it-IT"/>
              </w:rPr>
            </w:pPr>
            <w:r w:rsidRPr="006E2FD9">
              <w:rPr>
                <w:rFonts w:eastAsia="Times New Roman" w:cs="Calibri"/>
                <w:b/>
                <w:bCs/>
                <w:color w:val="000000"/>
                <w:lang w:eastAsia="it-IT"/>
              </w:rPr>
              <w:t>SCHEDA</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D64" w:rsidRPr="006E2FD9" w:rsidRDefault="003F5D64" w:rsidP="003F5D64">
            <w:pPr>
              <w:spacing w:after="0" w:line="240" w:lineRule="auto"/>
              <w:jc w:val="center"/>
              <w:rPr>
                <w:rFonts w:eastAsia="Times New Roman" w:cs="Calibri"/>
                <w:b/>
                <w:bCs/>
                <w:color w:val="000000"/>
                <w:lang w:eastAsia="it-IT"/>
              </w:rPr>
            </w:pPr>
            <w:r w:rsidRPr="006E2FD9">
              <w:rPr>
                <w:rFonts w:eastAsia="Times New Roman" w:cs="Calibri"/>
                <w:b/>
                <w:bCs/>
                <w:color w:val="000000"/>
                <w:lang w:eastAsia="it-IT"/>
              </w:rPr>
              <w:t xml:space="preserve">COMPARTO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D64" w:rsidRPr="006E2FD9" w:rsidRDefault="003F5D64" w:rsidP="003F5D64">
            <w:pPr>
              <w:spacing w:after="0" w:line="240" w:lineRule="auto"/>
              <w:jc w:val="center"/>
              <w:rPr>
                <w:rFonts w:eastAsia="Times New Roman" w:cs="Calibri"/>
                <w:b/>
                <w:bCs/>
                <w:color w:val="000000"/>
                <w:lang w:eastAsia="it-IT"/>
              </w:rPr>
            </w:pPr>
            <w:r w:rsidRPr="006E2FD9">
              <w:rPr>
                <w:rFonts w:eastAsia="Times New Roman" w:cs="Calibri"/>
                <w:b/>
                <w:bCs/>
                <w:color w:val="000000"/>
                <w:lang w:eastAsia="it-IT"/>
              </w:rPr>
              <w:t xml:space="preserve">DIRETTORE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D64" w:rsidRPr="006E2FD9" w:rsidRDefault="003F5D64" w:rsidP="003F5D64">
            <w:pPr>
              <w:spacing w:after="0" w:line="240" w:lineRule="auto"/>
              <w:jc w:val="center"/>
              <w:rPr>
                <w:rFonts w:eastAsia="Times New Roman" w:cs="Calibri"/>
                <w:b/>
                <w:bCs/>
                <w:color w:val="000000"/>
                <w:lang w:eastAsia="it-IT"/>
              </w:rPr>
            </w:pPr>
            <w:r w:rsidRPr="006E2FD9">
              <w:rPr>
                <w:rFonts w:eastAsia="Times New Roman" w:cs="Calibri"/>
                <w:b/>
                <w:bCs/>
                <w:color w:val="000000"/>
                <w:lang w:eastAsia="it-IT"/>
              </w:rPr>
              <w:t xml:space="preserve">DIRIGENZA </w:t>
            </w:r>
          </w:p>
        </w:tc>
      </w:tr>
      <w:tr w:rsidR="003F5D64" w:rsidRPr="006E2FD9" w:rsidTr="00A96F21">
        <w:trPr>
          <w:trHeight w:val="315"/>
        </w:trPr>
        <w:tc>
          <w:tcPr>
            <w:tcW w:w="132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DS</w:t>
            </w:r>
          </w:p>
        </w:tc>
        <w:tc>
          <w:tcPr>
            <w:tcW w:w="4511" w:type="dxa"/>
            <w:tcBorders>
              <w:top w:val="single" w:sz="4" w:space="0" w:color="auto"/>
              <w:left w:val="nil"/>
              <w:bottom w:val="nil"/>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Direzione Sanitaria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Direzione medica PN</w:t>
            </w:r>
          </w:p>
        </w:tc>
        <w:tc>
          <w:tcPr>
            <w:tcW w:w="136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97,80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proofErr w:type="spellStart"/>
            <w:r w:rsidRPr="006E2FD9">
              <w:rPr>
                <w:rFonts w:eastAsia="Times New Roman" w:cs="Calibri"/>
                <w:color w:val="000000"/>
                <w:lang w:eastAsia="it-IT"/>
              </w:rPr>
              <w:t>Serv</w:t>
            </w:r>
            <w:proofErr w:type="spellEnd"/>
            <w:r w:rsidRPr="006E2FD9">
              <w:rPr>
                <w:rFonts w:eastAsia="Times New Roman" w:cs="Calibri"/>
                <w:color w:val="000000"/>
                <w:lang w:eastAsia="it-IT"/>
              </w:rPr>
              <w:t>. Infermieristico aziendale</w:t>
            </w:r>
          </w:p>
        </w:tc>
        <w:tc>
          <w:tcPr>
            <w:tcW w:w="136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3F5D64" w:rsidRPr="006E2FD9" w:rsidTr="00A96F21">
        <w:trPr>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Direzione medica SV SP</w:t>
            </w:r>
          </w:p>
        </w:tc>
        <w:tc>
          <w:tcPr>
            <w:tcW w:w="136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97,80</w:t>
            </w:r>
          </w:p>
        </w:tc>
        <w:tc>
          <w:tcPr>
            <w:tcW w:w="128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315"/>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Assistenza farmaceutica</w:t>
            </w:r>
          </w:p>
        </w:tc>
        <w:tc>
          <w:tcPr>
            <w:tcW w:w="1360"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315"/>
        </w:trPr>
        <w:tc>
          <w:tcPr>
            <w:tcW w:w="132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xml:space="preserve">DA </w:t>
            </w: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Direzione Amministrativa</w:t>
            </w:r>
          </w:p>
        </w:tc>
        <w:tc>
          <w:tcPr>
            <w:tcW w:w="136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c>
          <w:tcPr>
            <w:tcW w:w="130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28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3F5D64" w:rsidRPr="006E2FD9" w:rsidTr="00A96F21">
        <w:trPr>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Approvvigionamenti e Logistica</w:t>
            </w:r>
          </w:p>
        </w:tc>
        <w:tc>
          <w:tcPr>
            <w:tcW w:w="136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97,8</w:t>
            </w:r>
          </w:p>
        </w:tc>
        <w:tc>
          <w:tcPr>
            <w:tcW w:w="128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Affari Generali e Legali</w:t>
            </w:r>
          </w:p>
        </w:tc>
        <w:tc>
          <w:tcPr>
            <w:tcW w:w="136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Politiche e Gestione del Personale</w:t>
            </w:r>
          </w:p>
        </w:tc>
        <w:tc>
          <w:tcPr>
            <w:tcW w:w="136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3F5D64" w:rsidRPr="006E2FD9" w:rsidTr="00A96F21">
        <w:trPr>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Servizio Tecnico</w:t>
            </w:r>
          </w:p>
        </w:tc>
        <w:tc>
          <w:tcPr>
            <w:tcW w:w="136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val="en-US" w:eastAsia="it-IT"/>
              </w:rPr>
            </w:pPr>
            <w:r w:rsidRPr="006E2FD9">
              <w:rPr>
                <w:rFonts w:eastAsia="Times New Roman" w:cs="Calibri"/>
                <w:color w:val="000000"/>
                <w:lang w:val="en-US" w:eastAsia="it-IT"/>
              </w:rPr>
              <w:t xml:space="preserve">SC </w:t>
            </w:r>
            <w:proofErr w:type="spellStart"/>
            <w:r w:rsidRPr="006E2FD9">
              <w:rPr>
                <w:rFonts w:eastAsia="Times New Roman" w:cs="Calibri"/>
                <w:color w:val="000000"/>
                <w:lang w:val="en-US" w:eastAsia="it-IT"/>
              </w:rPr>
              <w:t>Ing.Biom</w:t>
            </w:r>
            <w:proofErr w:type="spellEnd"/>
            <w:r w:rsidRPr="006E2FD9">
              <w:rPr>
                <w:rFonts w:eastAsia="Times New Roman" w:cs="Calibri"/>
                <w:color w:val="000000"/>
                <w:lang w:val="en-US" w:eastAsia="it-IT"/>
              </w:rPr>
              <w:t>. Serv. Inf.</w:t>
            </w:r>
          </w:p>
        </w:tc>
        <w:tc>
          <w:tcPr>
            <w:tcW w:w="136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Economico finanziario</w:t>
            </w:r>
          </w:p>
        </w:tc>
        <w:tc>
          <w:tcPr>
            <w:tcW w:w="136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Investimenti e manutenzioni</w:t>
            </w:r>
          </w:p>
        </w:tc>
        <w:tc>
          <w:tcPr>
            <w:tcW w:w="136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3F5D64" w:rsidRPr="006E2FD9" w:rsidTr="00A96F21">
        <w:trPr>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nil"/>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Provveditorato e economato</w:t>
            </w:r>
          </w:p>
        </w:tc>
        <w:tc>
          <w:tcPr>
            <w:tcW w:w="136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3F5D64" w:rsidRPr="006E2FD9" w:rsidTr="00A96F21">
        <w:trPr>
          <w:trHeight w:val="315"/>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single" w:sz="4"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 xml:space="preserve">SC Affari Generali e </w:t>
            </w:r>
            <w:proofErr w:type="spellStart"/>
            <w:r w:rsidRPr="006E2FD9">
              <w:rPr>
                <w:rFonts w:eastAsia="Times New Roman" w:cs="Calibri"/>
                <w:color w:val="000000"/>
                <w:lang w:eastAsia="it-IT"/>
              </w:rPr>
              <w:t>Legaliex</w:t>
            </w:r>
            <w:proofErr w:type="spellEnd"/>
            <w:r w:rsidRPr="006E2FD9">
              <w:rPr>
                <w:rFonts w:eastAsia="Times New Roman" w:cs="Calibri"/>
                <w:color w:val="000000"/>
                <w:lang w:eastAsia="it-IT"/>
              </w:rPr>
              <w:t xml:space="preserve"> AOSMA</w:t>
            </w:r>
          </w:p>
        </w:tc>
        <w:tc>
          <w:tcPr>
            <w:tcW w:w="136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3F5D64" w:rsidRPr="006E2FD9" w:rsidTr="00A96F21">
        <w:trPr>
          <w:trHeight w:val="315"/>
        </w:trPr>
        <w:tc>
          <w:tcPr>
            <w:tcW w:w="132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xml:space="preserve">STAFF </w:t>
            </w:r>
          </w:p>
        </w:tc>
        <w:tc>
          <w:tcPr>
            <w:tcW w:w="4511"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 xml:space="preserve">SC </w:t>
            </w:r>
            <w:proofErr w:type="spellStart"/>
            <w:r w:rsidRPr="006E2FD9">
              <w:rPr>
                <w:rFonts w:eastAsia="Times New Roman" w:cs="Calibri"/>
                <w:color w:val="000000"/>
                <w:lang w:eastAsia="it-IT"/>
              </w:rPr>
              <w:t>P.C.Q.A.R.M.</w:t>
            </w:r>
            <w:proofErr w:type="spellEnd"/>
          </w:p>
        </w:tc>
        <w:tc>
          <w:tcPr>
            <w:tcW w:w="1360"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280"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SS Formazione</w:t>
            </w:r>
          </w:p>
        </w:tc>
        <w:tc>
          <w:tcPr>
            <w:tcW w:w="136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28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3F5D64" w:rsidRPr="006E2FD9" w:rsidTr="00A96F21">
        <w:trPr>
          <w:trHeight w:val="300"/>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SC Programmazione e controllo ex ASS6</w:t>
            </w:r>
          </w:p>
        </w:tc>
        <w:tc>
          <w:tcPr>
            <w:tcW w:w="136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28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p>
        </w:tc>
      </w:tr>
      <w:tr w:rsidR="003F5D64" w:rsidRPr="006E2FD9" w:rsidTr="00A96F21">
        <w:trPr>
          <w:trHeight w:val="315"/>
        </w:trPr>
        <w:tc>
          <w:tcPr>
            <w:tcW w:w="1320" w:type="dxa"/>
            <w:vMerge/>
            <w:tcBorders>
              <w:top w:val="nil"/>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SS Servizio di Prevenzione e Protezione</w:t>
            </w:r>
          </w:p>
        </w:tc>
        <w:tc>
          <w:tcPr>
            <w:tcW w:w="1360"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280"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315"/>
        </w:trPr>
        <w:tc>
          <w:tcPr>
            <w:tcW w:w="1320" w:type="dxa"/>
            <w:tcBorders>
              <w:top w:val="nil"/>
              <w:left w:val="single" w:sz="4" w:space="0" w:color="auto"/>
              <w:bottom w:val="double" w:sz="6" w:space="0" w:color="000000"/>
              <w:right w:val="single" w:sz="4" w:space="0" w:color="auto"/>
            </w:tcBorders>
            <w:shd w:val="clear" w:color="auto" w:fill="auto"/>
            <w:vAlign w:val="center"/>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Distretto EST</w:t>
            </w: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Distretto EST</w:t>
            </w:r>
          </w:p>
        </w:tc>
        <w:tc>
          <w:tcPr>
            <w:tcW w:w="1360" w:type="dxa"/>
            <w:tcBorders>
              <w:top w:val="double" w:sz="6"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double" w:sz="6"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Pr>
                <w:rFonts w:eastAsia="Times New Roman" w:cs="Calibri"/>
                <w:color w:val="000000"/>
                <w:lang w:eastAsia="it-IT"/>
              </w:rPr>
              <w:t>100,00</w:t>
            </w:r>
          </w:p>
        </w:tc>
        <w:tc>
          <w:tcPr>
            <w:tcW w:w="1280" w:type="dxa"/>
            <w:tcBorders>
              <w:top w:val="double" w:sz="6"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 </w:t>
            </w:r>
            <w:r>
              <w:rPr>
                <w:rFonts w:eastAsia="Times New Roman" w:cs="Calibri"/>
                <w:color w:val="000000"/>
                <w:lang w:eastAsia="it-IT"/>
              </w:rPr>
              <w:t>100</w:t>
            </w:r>
          </w:p>
        </w:tc>
      </w:tr>
      <w:tr w:rsidR="003F5D64" w:rsidRPr="006E2FD9" w:rsidTr="00A96F21">
        <w:trPr>
          <w:trHeight w:val="63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Distretto NORD</w:t>
            </w:r>
          </w:p>
        </w:tc>
        <w:tc>
          <w:tcPr>
            <w:tcW w:w="4511"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Distretto NORD</w:t>
            </w:r>
          </w:p>
        </w:tc>
        <w:tc>
          <w:tcPr>
            <w:tcW w:w="1360"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630"/>
        </w:trPr>
        <w:tc>
          <w:tcPr>
            <w:tcW w:w="1320" w:type="dxa"/>
            <w:tcBorders>
              <w:top w:val="double" w:sz="6" w:space="0" w:color="auto"/>
              <w:left w:val="single" w:sz="4" w:space="0" w:color="auto"/>
              <w:bottom w:val="single" w:sz="4" w:space="0" w:color="auto"/>
              <w:right w:val="single" w:sz="4" w:space="0" w:color="auto"/>
            </w:tcBorders>
            <w:shd w:val="clear" w:color="auto" w:fill="auto"/>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Distretto OVEST</w:t>
            </w:r>
          </w:p>
        </w:tc>
        <w:tc>
          <w:tcPr>
            <w:tcW w:w="4511"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Distretto OVEST</w:t>
            </w:r>
          </w:p>
        </w:tc>
        <w:tc>
          <w:tcPr>
            <w:tcW w:w="1360"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630"/>
        </w:trPr>
        <w:tc>
          <w:tcPr>
            <w:tcW w:w="1320" w:type="dxa"/>
            <w:tcBorders>
              <w:top w:val="double" w:sz="6" w:space="0" w:color="auto"/>
              <w:left w:val="single" w:sz="4" w:space="0" w:color="auto"/>
              <w:bottom w:val="single" w:sz="4" w:space="0" w:color="auto"/>
              <w:right w:val="single" w:sz="4" w:space="0" w:color="auto"/>
            </w:tcBorders>
            <w:shd w:val="clear" w:color="auto" w:fill="auto"/>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Distretto SUD</w:t>
            </w:r>
          </w:p>
        </w:tc>
        <w:tc>
          <w:tcPr>
            <w:tcW w:w="4511"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Distretto SUD</w:t>
            </w:r>
          </w:p>
        </w:tc>
        <w:tc>
          <w:tcPr>
            <w:tcW w:w="1360"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630"/>
        </w:trPr>
        <w:tc>
          <w:tcPr>
            <w:tcW w:w="1320" w:type="dxa"/>
            <w:tcBorders>
              <w:top w:val="double" w:sz="6" w:space="0" w:color="auto"/>
              <w:left w:val="single" w:sz="4" w:space="0" w:color="auto"/>
              <w:bottom w:val="single" w:sz="4" w:space="0" w:color="auto"/>
              <w:right w:val="single" w:sz="4" w:space="0" w:color="auto"/>
            </w:tcBorders>
            <w:shd w:val="clear" w:color="auto" w:fill="auto"/>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Distretto URBANO</w:t>
            </w:r>
          </w:p>
        </w:tc>
        <w:tc>
          <w:tcPr>
            <w:tcW w:w="4511"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Distretto URBANO</w:t>
            </w:r>
          </w:p>
        </w:tc>
        <w:tc>
          <w:tcPr>
            <w:tcW w:w="1360"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315"/>
        </w:trPr>
        <w:tc>
          <w:tcPr>
            <w:tcW w:w="13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Dip. Prevenzione</w:t>
            </w:r>
          </w:p>
        </w:tc>
        <w:tc>
          <w:tcPr>
            <w:tcW w:w="4511"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Dipartimento di PREVENZIONE</w:t>
            </w:r>
          </w:p>
        </w:tc>
        <w:tc>
          <w:tcPr>
            <w:tcW w:w="1360"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double" w:sz="6" w:space="0" w:color="auto"/>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300"/>
        </w:trPr>
        <w:tc>
          <w:tcPr>
            <w:tcW w:w="1320" w:type="dxa"/>
            <w:vMerge/>
            <w:tcBorders>
              <w:top w:val="double" w:sz="6" w:space="0" w:color="auto"/>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SOC Ambienti di Lavoro</w:t>
            </w:r>
          </w:p>
        </w:tc>
        <w:tc>
          <w:tcPr>
            <w:tcW w:w="136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 </w:t>
            </w:r>
          </w:p>
        </w:tc>
        <w:tc>
          <w:tcPr>
            <w:tcW w:w="130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300"/>
        </w:trPr>
        <w:tc>
          <w:tcPr>
            <w:tcW w:w="1320" w:type="dxa"/>
            <w:vMerge/>
            <w:tcBorders>
              <w:top w:val="double" w:sz="6" w:space="0" w:color="auto"/>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SOC Ambienti di Vita</w:t>
            </w:r>
          </w:p>
        </w:tc>
        <w:tc>
          <w:tcPr>
            <w:tcW w:w="136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 </w:t>
            </w:r>
          </w:p>
        </w:tc>
        <w:tc>
          <w:tcPr>
            <w:tcW w:w="130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300"/>
        </w:trPr>
        <w:tc>
          <w:tcPr>
            <w:tcW w:w="1320" w:type="dxa"/>
            <w:vMerge/>
            <w:tcBorders>
              <w:top w:val="double" w:sz="6" w:space="0" w:color="auto"/>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SOC Igiene degli alimenti di origine animale</w:t>
            </w:r>
          </w:p>
        </w:tc>
        <w:tc>
          <w:tcPr>
            <w:tcW w:w="136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 </w:t>
            </w:r>
          </w:p>
        </w:tc>
        <w:tc>
          <w:tcPr>
            <w:tcW w:w="130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nil"/>
              <w:left w:val="nil"/>
              <w:bottom w:val="single" w:sz="4"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3F5D64" w:rsidRPr="006E2FD9" w:rsidTr="00A96F21">
        <w:trPr>
          <w:trHeight w:val="315"/>
        </w:trPr>
        <w:tc>
          <w:tcPr>
            <w:tcW w:w="1320" w:type="dxa"/>
            <w:vMerge/>
            <w:tcBorders>
              <w:top w:val="double" w:sz="6" w:space="0" w:color="auto"/>
              <w:left w:val="single" w:sz="4" w:space="0" w:color="auto"/>
              <w:bottom w:val="double" w:sz="6" w:space="0" w:color="000000"/>
              <w:right w:val="single" w:sz="4" w:space="0" w:color="auto"/>
            </w:tcBorders>
            <w:vAlign w:val="center"/>
            <w:hideMark/>
          </w:tcPr>
          <w:p w:rsidR="003F5D64" w:rsidRPr="006E2FD9" w:rsidRDefault="003F5D64" w:rsidP="00A96F21">
            <w:pPr>
              <w:spacing w:after="0" w:line="240" w:lineRule="auto"/>
              <w:rPr>
                <w:rFonts w:eastAsia="Times New Roman" w:cs="Calibri"/>
                <w:color w:val="000000"/>
                <w:lang w:eastAsia="it-IT"/>
              </w:rPr>
            </w:pPr>
          </w:p>
        </w:tc>
        <w:tc>
          <w:tcPr>
            <w:tcW w:w="4511"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SOC Sanità animale</w:t>
            </w:r>
          </w:p>
        </w:tc>
        <w:tc>
          <w:tcPr>
            <w:tcW w:w="1360"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rPr>
                <w:rFonts w:eastAsia="Times New Roman" w:cs="Calibri"/>
                <w:color w:val="000000"/>
                <w:lang w:eastAsia="it-IT"/>
              </w:rPr>
            </w:pPr>
            <w:r w:rsidRPr="006E2FD9">
              <w:rPr>
                <w:rFonts w:eastAsia="Times New Roman" w:cs="Calibri"/>
                <w:color w:val="000000"/>
                <w:lang w:eastAsia="it-IT"/>
              </w:rPr>
              <w:t> </w:t>
            </w:r>
          </w:p>
        </w:tc>
        <w:tc>
          <w:tcPr>
            <w:tcW w:w="1300"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single" w:sz="4" w:space="0" w:color="auto"/>
              <w:left w:val="nil"/>
              <w:bottom w:val="double" w:sz="6" w:space="0" w:color="auto"/>
              <w:right w:val="single" w:sz="4" w:space="0" w:color="auto"/>
            </w:tcBorders>
            <w:shd w:val="clear" w:color="auto" w:fill="auto"/>
            <w:noWrap/>
            <w:vAlign w:val="bottom"/>
            <w:hideMark/>
          </w:tcPr>
          <w:p w:rsidR="003F5D64" w:rsidRPr="006E2FD9" w:rsidRDefault="003F5D64" w:rsidP="00A96F21">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bl>
    <w:p w:rsidR="003F5D64" w:rsidRDefault="003F5D64"/>
    <w:p w:rsidR="003F5D64" w:rsidRDefault="003F5D64"/>
    <w:tbl>
      <w:tblPr>
        <w:tblW w:w="9771" w:type="dxa"/>
        <w:tblInd w:w="55" w:type="dxa"/>
        <w:tblCellMar>
          <w:left w:w="70" w:type="dxa"/>
          <w:right w:w="70" w:type="dxa"/>
        </w:tblCellMar>
        <w:tblLook w:val="04A0"/>
      </w:tblPr>
      <w:tblGrid>
        <w:gridCol w:w="1320"/>
        <w:gridCol w:w="4511"/>
        <w:gridCol w:w="1360"/>
        <w:gridCol w:w="1300"/>
        <w:gridCol w:w="1280"/>
      </w:tblGrid>
      <w:tr w:rsidR="006E2FD9" w:rsidRPr="006E2FD9" w:rsidTr="006E2FD9">
        <w:trPr>
          <w:trHeight w:val="293"/>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lastRenderedPageBreak/>
              <w:t> </w:t>
            </w:r>
          </w:p>
        </w:tc>
        <w:tc>
          <w:tcPr>
            <w:tcW w:w="4511" w:type="dxa"/>
            <w:tcBorders>
              <w:top w:val="single" w:sz="4"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b/>
                <w:bCs/>
                <w:color w:val="000000"/>
                <w:lang w:eastAsia="it-IT"/>
              </w:rPr>
            </w:pPr>
            <w:r w:rsidRPr="006E2FD9">
              <w:rPr>
                <w:rFonts w:eastAsia="Times New Roman" w:cs="Calibri"/>
                <w:b/>
                <w:bCs/>
                <w:color w:val="000000"/>
                <w:lang w:eastAsia="it-IT"/>
              </w:rPr>
              <w:t>Obiettivi di budget 2015</w:t>
            </w:r>
          </w:p>
        </w:tc>
        <w:tc>
          <w:tcPr>
            <w:tcW w:w="39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b/>
                <w:bCs/>
                <w:color w:val="000000"/>
                <w:lang w:eastAsia="it-IT"/>
              </w:rPr>
            </w:pPr>
            <w:r w:rsidRPr="006E2FD9">
              <w:rPr>
                <w:rFonts w:eastAsia="Times New Roman" w:cs="Calibri"/>
                <w:b/>
                <w:bCs/>
                <w:color w:val="000000"/>
                <w:lang w:eastAsia="it-IT"/>
              </w:rPr>
              <w:t>Proposta di valutazione</w:t>
            </w:r>
          </w:p>
        </w:tc>
      </w:tr>
      <w:tr w:rsidR="006E2FD9" w:rsidRPr="006E2FD9" w:rsidTr="003F5D64">
        <w:trPr>
          <w:trHeight w:val="529"/>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6E2FD9" w:rsidRPr="006E2FD9" w:rsidRDefault="006E2FD9" w:rsidP="006E2FD9">
            <w:pPr>
              <w:spacing w:after="0" w:line="240" w:lineRule="auto"/>
              <w:rPr>
                <w:rFonts w:eastAsia="Times New Roman" w:cs="Calibri"/>
                <w:b/>
                <w:color w:val="000000"/>
                <w:sz w:val="18"/>
                <w:szCs w:val="18"/>
                <w:lang w:eastAsia="it-IT"/>
              </w:rPr>
            </w:pPr>
            <w:r w:rsidRPr="006E2FD9">
              <w:rPr>
                <w:rFonts w:eastAsia="Times New Roman" w:cs="Calibri"/>
                <w:b/>
                <w:color w:val="000000"/>
                <w:sz w:val="18"/>
                <w:szCs w:val="18"/>
                <w:lang w:eastAsia="it-IT"/>
              </w:rPr>
              <w:t>Dipartimento</w:t>
            </w: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b/>
                <w:bCs/>
                <w:color w:val="000000"/>
                <w:lang w:eastAsia="it-IT"/>
              </w:rPr>
            </w:pPr>
            <w:r w:rsidRPr="006E2FD9">
              <w:rPr>
                <w:rFonts w:eastAsia="Times New Roman" w:cs="Calibri"/>
                <w:b/>
                <w:bCs/>
                <w:color w:val="000000"/>
                <w:lang w:eastAsia="it-IT"/>
              </w:rPr>
              <w:t>SCHEDA</w:t>
            </w:r>
          </w:p>
        </w:tc>
        <w:tc>
          <w:tcPr>
            <w:tcW w:w="1360"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3F5D64">
            <w:pPr>
              <w:spacing w:after="0" w:line="240" w:lineRule="auto"/>
              <w:jc w:val="center"/>
              <w:rPr>
                <w:rFonts w:eastAsia="Times New Roman" w:cs="Calibri"/>
                <w:b/>
                <w:bCs/>
                <w:color w:val="000000"/>
                <w:lang w:eastAsia="it-IT"/>
              </w:rPr>
            </w:pPr>
            <w:r w:rsidRPr="006E2FD9">
              <w:rPr>
                <w:rFonts w:eastAsia="Times New Roman" w:cs="Calibri"/>
                <w:b/>
                <w:bCs/>
                <w:color w:val="000000"/>
                <w:lang w:eastAsia="it-IT"/>
              </w:rPr>
              <w:t xml:space="preserve">COMPARTO </w:t>
            </w:r>
          </w:p>
        </w:tc>
        <w:tc>
          <w:tcPr>
            <w:tcW w:w="1300"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3F5D64">
            <w:pPr>
              <w:spacing w:after="0" w:line="240" w:lineRule="auto"/>
              <w:jc w:val="center"/>
              <w:rPr>
                <w:rFonts w:eastAsia="Times New Roman" w:cs="Calibri"/>
                <w:b/>
                <w:bCs/>
                <w:color w:val="000000"/>
                <w:lang w:eastAsia="it-IT"/>
              </w:rPr>
            </w:pPr>
            <w:r w:rsidRPr="006E2FD9">
              <w:rPr>
                <w:rFonts w:eastAsia="Times New Roman" w:cs="Calibri"/>
                <w:b/>
                <w:bCs/>
                <w:color w:val="000000"/>
                <w:lang w:eastAsia="it-IT"/>
              </w:rPr>
              <w:t xml:space="preserve">DIRETTORE </w:t>
            </w:r>
          </w:p>
        </w:tc>
        <w:tc>
          <w:tcPr>
            <w:tcW w:w="1280"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3F5D64">
            <w:pPr>
              <w:spacing w:after="0" w:line="240" w:lineRule="auto"/>
              <w:jc w:val="center"/>
              <w:rPr>
                <w:rFonts w:eastAsia="Times New Roman" w:cs="Calibri"/>
                <w:b/>
                <w:bCs/>
                <w:color w:val="000000"/>
                <w:lang w:eastAsia="it-IT"/>
              </w:rPr>
            </w:pPr>
            <w:r w:rsidRPr="006E2FD9">
              <w:rPr>
                <w:rFonts w:eastAsia="Times New Roman" w:cs="Calibri"/>
                <w:b/>
                <w:bCs/>
                <w:color w:val="000000"/>
                <w:lang w:eastAsia="it-IT"/>
              </w:rPr>
              <w:t xml:space="preserve">DIRIGENZA </w:t>
            </w:r>
          </w:p>
        </w:tc>
      </w:tr>
      <w:tr w:rsidR="006E2FD9" w:rsidRPr="006E2FD9" w:rsidTr="006E2FD9">
        <w:trPr>
          <w:trHeight w:val="63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Dip. Dipendenze</w:t>
            </w: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Dipartimento per le Dipendenze</w:t>
            </w:r>
          </w:p>
        </w:tc>
        <w:tc>
          <w:tcPr>
            <w:tcW w:w="1360"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6E2FD9">
        <w:trPr>
          <w:trHeight w:val="315"/>
        </w:trPr>
        <w:tc>
          <w:tcPr>
            <w:tcW w:w="132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DSM</w:t>
            </w:r>
          </w:p>
        </w:tc>
        <w:tc>
          <w:tcPr>
            <w:tcW w:w="4511" w:type="dxa"/>
            <w:tcBorders>
              <w:top w:val="double" w:sz="6"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Dipartimento di Salute Mentale</w:t>
            </w:r>
          </w:p>
        </w:tc>
        <w:tc>
          <w:tcPr>
            <w:tcW w:w="1360" w:type="dxa"/>
            <w:tcBorders>
              <w:top w:val="double" w:sz="6"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97,5</w:t>
            </w:r>
          </w:p>
        </w:tc>
        <w:tc>
          <w:tcPr>
            <w:tcW w:w="1300" w:type="dxa"/>
            <w:tcBorders>
              <w:top w:val="double" w:sz="6"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97,80</w:t>
            </w:r>
          </w:p>
        </w:tc>
        <w:tc>
          <w:tcPr>
            <w:tcW w:w="1280" w:type="dxa"/>
            <w:tcBorders>
              <w:top w:val="double" w:sz="6"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97,5</w:t>
            </w:r>
          </w:p>
        </w:tc>
      </w:tr>
      <w:tr w:rsidR="006E2FD9" w:rsidRPr="006E2FD9" w:rsidTr="006E2FD9">
        <w:trPr>
          <w:trHeight w:val="300"/>
        </w:trPr>
        <w:tc>
          <w:tcPr>
            <w:tcW w:w="1320" w:type="dxa"/>
            <w:vMerge/>
            <w:tcBorders>
              <w:top w:val="double" w:sz="6" w:space="0" w:color="auto"/>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Area Nord</w:t>
            </w:r>
          </w:p>
        </w:tc>
        <w:tc>
          <w:tcPr>
            <w:tcW w:w="1360"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97,5</w:t>
            </w:r>
          </w:p>
        </w:tc>
        <w:tc>
          <w:tcPr>
            <w:tcW w:w="1300"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97,80</w:t>
            </w:r>
          </w:p>
        </w:tc>
        <w:tc>
          <w:tcPr>
            <w:tcW w:w="1280"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97,5</w:t>
            </w:r>
          </w:p>
        </w:tc>
      </w:tr>
      <w:tr w:rsidR="006E2FD9" w:rsidRPr="006E2FD9" w:rsidTr="006E2FD9">
        <w:trPr>
          <w:trHeight w:val="300"/>
        </w:trPr>
        <w:tc>
          <w:tcPr>
            <w:tcW w:w="1320" w:type="dxa"/>
            <w:vMerge/>
            <w:tcBorders>
              <w:top w:val="double" w:sz="6" w:space="0" w:color="auto"/>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Area Sud</w:t>
            </w:r>
          </w:p>
        </w:tc>
        <w:tc>
          <w:tcPr>
            <w:tcW w:w="1360"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96,5</w:t>
            </w:r>
          </w:p>
        </w:tc>
        <w:tc>
          <w:tcPr>
            <w:tcW w:w="1300"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96,90</w:t>
            </w:r>
          </w:p>
        </w:tc>
        <w:tc>
          <w:tcPr>
            <w:tcW w:w="1280"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96,5</w:t>
            </w:r>
          </w:p>
        </w:tc>
      </w:tr>
      <w:tr w:rsidR="006E2FD9" w:rsidRPr="006E2FD9" w:rsidTr="006E2FD9">
        <w:trPr>
          <w:trHeight w:val="300"/>
        </w:trPr>
        <w:tc>
          <w:tcPr>
            <w:tcW w:w="1320" w:type="dxa"/>
            <w:vMerge/>
            <w:tcBorders>
              <w:top w:val="double" w:sz="6" w:space="0" w:color="auto"/>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Area Urbana</w:t>
            </w:r>
          </w:p>
        </w:tc>
        <w:tc>
          <w:tcPr>
            <w:tcW w:w="1360"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97,5</w:t>
            </w:r>
          </w:p>
        </w:tc>
        <w:tc>
          <w:tcPr>
            <w:tcW w:w="1300"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97,80</w:t>
            </w:r>
          </w:p>
        </w:tc>
        <w:tc>
          <w:tcPr>
            <w:tcW w:w="1280"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97,5</w:t>
            </w:r>
          </w:p>
        </w:tc>
      </w:tr>
      <w:tr w:rsidR="006E2FD9" w:rsidRPr="006E2FD9" w:rsidTr="006E2FD9">
        <w:trPr>
          <w:trHeight w:val="315"/>
        </w:trPr>
        <w:tc>
          <w:tcPr>
            <w:tcW w:w="1320" w:type="dxa"/>
            <w:vMerge/>
            <w:tcBorders>
              <w:top w:val="double" w:sz="6" w:space="0" w:color="auto"/>
              <w:left w:val="single" w:sz="4" w:space="0" w:color="auto"/>
              <w:bottom w:val="double" w:sz="6" w:space="0" w:color="000000"/>
              <w:right w:val="single" w:sz="4" w:space="0" w:color="auto"/>
            </w:tcBorders>
            <w:vAlign w:val="center"/>
            <w:hideMark/>
          </w:tcPr>
          <w:p w:rsidR="006E2FD9" w:rsidRPr="006E2FD9" w:rsidRDefault="006E2FD9" w:rsidP="006E2FD9">
            <w:pPr>
              <w:spacing w:after="0" w:line="240" w:lineRule="auto"/>
              <w:rPr>
                <w:rFonts w:eastAsia="Times New Roman" w:cs="Calibri"/>
                <w:color w:val="000000"/>
                <w:lang w:eastAsia="it-IT"/>
              </w:rPr>
            </w:pPr>
          </w:p>
        </w:tc>
        <w:tc>
          <w:tcPr>
            <w:tcW w:w="4511" w:type="dxa"/>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SPDC</w:t>
            </w:r>
          </w:p>
        </w:tc>
        <w:tc>
          <w:tcPr>
            <w:tcW w:w="1360" w:type="dxa"/>
            <w:tcBorders>
              <w:top w:val="single" w:sz="4"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100,00</w:t>
            </w:r>
          </w:p>
        </w:tc>
        <w:tc>
          <w:tcPr>
            <w:tcW w:w="1280"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6E2FD9">
        <w:trPr>
          <w:trHeight w:val="33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NPI</w:t>
            </w:r>
          </w:p>
        </w:tc>
        <w:tc>
          <w:tcPr>
            <w:tcW w:w="4511"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SC Neuropsichiatria Infantile</w:t>
            </w:r>
          </w:p>
        </w:tc>
        <w:tc>
          <w:tcPr>
            <w:tcW w:w="1360" w:type="dxa"/>
            <w:tcBorders>
              <w:top w:val="nil"/>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double" w:sz="6"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97,80</w:t>
            </w:r>
          </w:p>
        </w:tc>
        <w:tc>
          <w:tcPr>
            <w:tcW w:w="1280" w:type="dxa"/>
            <w:tcBorders>
              <w:top w:val="double" w:sz="6" w:space="0" w:color="auto"/>
              <w:left w:val="nil"/>
              <w:bottom w:val="single" w:sz="4"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r w:rsidR="006E2FD9" w:rsidRPr="006E2FD9" w:rsidTr="006E2FD9">
        <w:trPr>
          <w:trHeight w:val="330"/>
        </w:trPr>
        <w:tc>
          <w:tcPr>
            <w:tcW w:w="132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CSS</w:t>
            </w:r>
          </w:p>
        </w:tc>
        <w:tc>
          <w:tcPr>
            <w:tcW w:w="4511" w:type="dxa"/>
            <w:tcBorders>
              <w:top w:val="double" w:sz="6"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rPr>
                <w:rFonts w:eastAsia="Times New Roman" w:cs="Calibri"/>
                <w:color w:val="000000"/>
                <w:lang w:eastAsia="it-IT"/>
              </w:rPr>
            </w:pPr>
            <w:r w:rsidRPr="006E2FD9">
              <w:rPr>
                <w:rFonts w:eastAsia="Times New Roman" w:cs="Calibri"/>
                <w:color w:val="000000"/>
                <w:lang w:eastAsia="it-IT"/>
              </w:rPr>
              <w:t>Coordinamento Socio Sanitario</w:t>
            </w:r>
          </w:p>
        </w:tc>
        <w:tc>
          <w:tcPr>
            <w:tcW w:w="1360" w:type="dxa"/>
            <w:tcBorders>
              <w:top w:val="double" w:sz="6"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c>
          <w:tcPr>
            <w:tcW w:w="1300" w:type="dxa"/>
            <w:tcBorders>
              <w:top w:val="double" w:sz="6"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91,30</w:t>
            </w:r>
          </w:p>
        </w:tc>
        <w:tc>
          <w:tcPr>
            <w:tcW w:w="1280" w:type="dxa"/>
            <w:tcBorders>
              <w:top w:val="double" w:sz="6" w:space="0" w:color="auto"/>
              <w:left w:val="nil"/>
              <w:bottom w:val="double" w:sz="6" w:space="0" w:color="auto"/>
              <w:right w:val="single" w:sz="4" w:space="0" w:color="auto"/>
            </w:tcBorders>
            <w:shd w:val="clear" w:color="auto" w:fill="auto"/>
            <w:noWrap/>
            <w:vAlign w:val="bottom"/>
            <w:hideMark/>
          </w:tcPr>
          <w:p w:rsidR="006E2FD9" w:rsidRPr="006E2FD9" w:rsidRDefault="006E2FD9" w:rsidP="006E2FD9">
            <w:pPr>
              <w:spacing w:after="0" w:line="240" w:lineRule="auto"/>
              <w:jc w:val="center"/>
              <w:rPr>
                <w:rFonts w:eastAsia="Times New Roman" w:cs="Calibri"/>
                <w:color w:val="000000"/>
                <w:lang w:eastAsia="it-IT"/>
              </w:rPr>
            </w:pPr>
            <w:r w:rsidRPr="006E2FD9">
              <w:rPr>
                <w:rFonts w:eastAsia="Times New Roman" w:cs="Calibri"/>
                <w:color w:val="000000"/>
                <w:lang w:eastAsia="it-IT"/>
              </w:rPr>
              <w:t>100</w:t>
            </w:r>
          </w:p>
        </w:tc>
      </w:tr>
    </w:tbl>
    <w:p w:rsidR="006E2FD9" w:rsidRDefault="006E2FD9">
      <w:pPr>
        <w:rPr>
          <w:rFonts w:eastAsia="Times New Roman" w:cs="Calibri"/>
          <w:b/>
          <w:bCs/>
          <w:color w:val="000000"/>
          <w:sz w:val="20"/>
          <w:szCs w:val="20"/>
          <w:lang w:eastAsia="it-IT"/>
        </w:rPr>
      </w:pPr>
    </w:p>
    <w:p w:rsidR="006E2FD9" w:rsidRPr="00471954" w:rsidRDefault="006E2FD9">
      <w:pPr>
        <w:rPr>
          <w:rFonts w:ascii="Garamond" w:hAnsi="Garamond"/>
          <w:color w:val="000000"/>
          <w:sz w:val="24"/>
          <w:szCs w:val="24"/>
        </w:rPr>
      </w:pPr>
    </w:p>
    <w:p w:rsidR="00DE2F31" w:rsidRDefault="00471954" w:rsidP="00DE2F31">
      <w:pPr>
        <w:spacing w:after="0" w:line="360" w:lineRule="auto"/>
        <w:jc w:val="both"/>
        <w:rPr>
          <w:rFonts w:ascii="Garamond" w:hAnsi="Garamond"/>
          <w:color w:val="000000"/>
          <w:sz w:val="24"/>
          <w:szCs w:val="24"/>
        </w:rPr>
      </w:pPr>
      <w:r w:rsidRPr="00471954">
        <w:rPr>
          <w:rFonts w:ascii="Garamond" w:hAnsi="Garamond"/>
          <w:color w:val="000000"/>
          <w:sz w:val="24"/>
          <w:szCs w:val="24"/>
        </w:rPr>
        <w:t>A</w:t>
      </w:r>
      <w:r>
        <w:rPr>
          <w:rFonts w:ascii="Garamond" w:hAnsi="Garamond"/>
          <w:color w:val="000000"/>
          <w:sz w:val="24"/>
          <w:szCs w:val="24"/>
        </w:rPr>
        <w:t xml:space="preserve">l fine di collegare la performance organizzativa con quella individuale è stato approvato il regolamento per la corresponsione della </w:t>
      </w:r>
      <w:r w:rsidR="00DE2F31" w:rsidRPr="00E6464D">
        <w:rPr>
          <w:rFonts w:ascii="Garamond" w:hAnsi="Garamond"/>
          <w:color w:val="000000"/>
          <w:sz w:val="24"/>
          <w:szCs w:val="24"/>
        </w:rPr>
        <w:t>retribuzione di risultato per la dirigenza e alla produttività collettiva e miglioramento dei servizi per il comparto</w:t>
      </w:r>
      <w:r w:rsidR="00DE2F31">
        <w:rPr>
          <w:rFonts w:ascii="Garamond" w:hAnsi="Garamond"/>
          <w:color w:val="000000"/>
          <w:sz w:val="24"/>
          <w:szCs w:val="24"/>
        </w:rPr>
        <w:t xml:space="preserve"> </w:t>
      </w:r>
      <w:r w:rsidR="00DE2F31" w:rsidRPr="00E6464D">
        <w:rPr>
          <w:rFonts w:ascii="Garamond" w:hAnsi="Garamond"/>
          <w:color w:val="000000"/>
          <w:sz w:val="24"/>
          <w:szCs w:val="24"/>
        </w:rPr>
        <w:t xml:space="preserve"> (</w:t>
      </w:r>
      <w:r w:rsidR="00DE2F31" w:rsidRPr="003203C5">
        <w:rPr>
          <w:rFonts w:ascii="Garamond" w:hAnsi="Garamond"/>
          <w:color w:val="000000"/>
          <w:sz w:val="24"/>
          <w:szCs w:val="24"/>
        </w:rPr>
        <w:t>il 2/10/2015 Area della Dirigenza Sanitaria e delle Professioni Sanitarie e Professionale Tecnica ed Amministrativa</w:t>
      </w:r>
      <w:r w:rsidR="00DE2F31">
        <w:rPr>
          <w:rFonts w:ascii="Garamond" w:hAnsi="Garamond"/>
          <w:color w:val="000000"/>
          <w:sz w:val="24"/>
          <w:szCs w:val="24"/>
        </w:rPr>
        <w:t xml:space="preserve"> e</w:t>
      </w:r>
      <w:r w:rsidR="00DE2F31" w:rsidRPr="003203C5">
        <w:rPr>
          <w:rFonts w:ascii="Garamond" w:hAnsi="Garamond"/>
          <w:color w:val="000000"/>
          <w:sz w:val="24"/>
          <w:szCs w:val="24"/>
        </w:rPr>
        <w:t xml:space="preserve"> Area della Dirigenza Medica e il 20/10/2015 Area Comparto</w:t>
      </w:r>
      <w:r w:rsidR="00DE2F31" w:rsidRPr="00E6464D">
        <w:rPr>
          <w:rFonts w:ascii="Garamond" w:hAnsi="Garamond"/>
          <w:color w:val="000000"/>
          <w:sz w:val="24"/>
          <w:szCs w:val="24"/>
        </w:rPr>
        <w:t>)</w:t>
      </w:r>
      <w:r w:rsidR="00DE2F31">
        <w:rPr>
          <w:rFonts w:ascii="Garamond" w:hAnsi="Garamond"/>
          <w:color w:val="000000"/>
          <w:sz w:val="24"/>
          <w:szCs w:val="24"/>
        </w:rPr>
        <w:t xml:space="preserve"> che prevede la corresponsione della quota integrativa attribuita ai dipendenti in relazione alla valutazione dell’apporto individuale degli stessi alla realizzazione dell’obiettivo, avuto riguardo ai seguenti elementi:</w:t>
      </w:r>
    </w:p>
    <w:p w:rsidR="00611500" w:rsidRPr="00003D0A" w:rsidRDefault="00611500" w:rsidP="00611500">
      <w:pPr>
        <w:pStyle w:val="Paragrafoelenco"/>
        <w:numPr>
          <w:ilvl w:val="0"/>
          <w:numId w:val="48"/>
        </w:numPr>
        <w:suppressAutoHyphens w:val="0"/>
        <w:spacing w:after="200" w:line="360" w:lineRule="auto"/>
        <w:contextualSpacing/>
        <w:jc w:val="both"/>
        <w:textAlignment w:val="auto"/>
        <w:rPr>
          <w:rFonts w:ascii="Garamond" w:eastAsia="Calibri" w:hAnsi="Garamond"/>
          <w:color w:val="000000"/>
          <w:lang w:eastAsia="en-US"/>
        </w:rPr>
      </w:pPr>
      <w:r w:rsidRPr="00003D0A">
        <w:rPr>
          <w:rFonts w:ascii="Garamond" w:eastAsia="Calibri" w:hAnsi="Garamond"/>
          <w:color w:val="000000"/>
          <w:lang w:eastAsia="en-US"/>
        </w:rPr>
        <w:t>il grado di raggiungimento dell’obiettivo</w:t>
      </w:r>
    </w:p>
    <w:p w:rsidR="00611500" w:rsidRPr="00003D0A" w:rsidRDefault="00611500" w:rsidP="00611500">
      <w:pPr>
        <w:pStyle w:val="Paragrafoelenco"/>
        <w:numPr>
          <w:ilvl w:val="0"/>
          <w:numId w:val="48"/>
        </w:numPr>
        <w:suppressAutoHyphens w:val="0"/>
        <w:spacing w:after="200" w:line="360" w:lineRule="auto"/>
        <w:ind w:left="714" w:hanging="357"/>
        <w:contextualSpacing/>
        <w:jc w:val="both"/>
        <w:textAlignment w:val="auto"/>
        <w:rPr>
          <w:rFonts w:ascii="Garamond" w:eastAsia="Calibri" w:hAnsi="Garamond"/>
          <w:color w:val="000000"/>
          <w:lang w:eastAsia="en-US"/>
        </w:rPr>
      </w:pPr>
      <w:r w:rsidRPr="00003D0A">
        <w:rPr>
          <w:rFonts w:ascii="Garamond" w:eastAsia="Calibri" w:hAnsi="Garamond"/>
          <w:color w:val="000000"/>
          <w:lang w:eastAsia="en-US"/>
        </w:rPr>
        <w:t xml:space="preserve">l’apporto individuale del </w:t>
      </w:r>
      <w:r>
        <w:rPr>
          <w:rFonts w:ascii="Garamond" w:eastAsia="Calibri" w:hAnsi="Garamond"/>
          <w:color w:val="000000"/>
          <w:lang w:eastAsia="en-US"/>
        </w:rPr>
        <w:t>singolo (</w:t>
      </w:r>
      <w:r w:rsidRPr="00003D0A">
        <w:rPr>
          <w:rFonts w:ascii="Garamond" w:eastAsia="Calibri" w:hAnsi="Garamond"/>
          <w:color w:val="000000"/>
          <w:lang w:eastAsia="en-US"/>
        </w:rPr>
        <w:t>dirigente</w:t>
      </w:r>
      <w:r>
        <w:rPr>
          <w:rFonts w:ascii="Garamond" w:eastAsia="Calibri" w:hAnsi="Garamond"/>
          <w:color w:val="000000"/>
          <w:lang w:eastAsia="en-US"/>
        </w:rPr>
        <w:t xml:space="preserve"> o </w:t>
      </w:r>
      <w:r w:rsidRPr="00003D0A">
        <w:rPr>
          <w:rFonts w:ascii="Garamond" w:eastAsia="Calibri" w:hAnsi="Garamond"/>
          <w:color w:val="000000"/>
          <w:lang w:eastAsia="en-US"/>
        </w:rPr>
        <w:t>personale del comparto</w:t>
      </w:r>
      <w:r>
        <w:rPr>
          <w:rFonts w:ascii="Garamond" w:eastAsia="Calibri" w:hAnsi="Garamond"/>
          <w:color w:val="000000"/>
          <w:lang w:eastAsia="en-US"/>
        </w:rPr>
        <w:t xml:space="preserve">) nel conseguimento degli obiettivi </w:t>
      </w:r>
    </w:p>
    <w:p w:rsidR="00611500" w:rsidRPr="00003D0A" w:rsidRDefault="00611500" w:rsidP="00611500">
      <w:pPr>
        <w:pStyle w:val="Paragrafoelenco"/>
        <w:numPr>
          <w:ilvl w:val="0"/>
          <w:numId w:val="48"/>
        </w:numPr>
        <w:suppressAutoHyphens w:val="0"/>
        <w:spacing w:after="200" w:line="360" w:lineRule="auto"/>
        <w:ind w:left="714" w:hanging="357"/>
        <w:contextualSpacing/>
        <w:jc w:val="both"/>
        <w:textAlignment w:val="auto"/>
        <w:rPr>
          <w:rFonts w:ascii="Garamond" w:eastAsia="Calibri" w:hAnsi="Garamond"/>
          <w:color w:val="000000"/>
          <w:lang w:eastAsia="en-US"/>
        </w:rPr>
      </w:pPr>
      <w:r w:rsidRPr="00003D0A">
        <w:rPr>
          <w:rFonts w:ascii="Garamond" w:eastAsia="Calibri" w:hAnsi="Garamond"/>
          <w:color w:val="000000"/>
          <w:lang w:eastAsia="en-US"/>
        </w:rPr>
        <w:t>l’esercizio di funzioni gestionali per i dirigenti responsabili.</w:t>
      </w:r>
    </w:p>
    <w:p w:rsidR="00611500" w:rsidRPr="00611500" w:rsidRDefault="00611500" w:rsidP="00611500">
      <w:pPr>
        <w:autoSpaceDE w:val="0"/>
        <w:autoSpaceDN w:val="0"/>
        <w:adjustRightInd w:val="0"/>
        <w:spacing w:line="360" w:lineRule="auto"/>
        <w:jc w:val="both"/>
        <w:rPr>
          <w:rFonts w:ascii="Garamond" w:eastAsia="Times New Roman" w:hAnsi="Garamond"/>
          <w:color w:val="000000"/>
          <w:sz w:val="24"/>
          <w:szCs w:val="24"/>
          <w:lang w:eastAsia="ar-SA"/>
        </w:rPr>
      </w:pPr>
      <w:r w:rsidRPr="00611500">
        <w:rPr>
          <w:rFonts w:ascii="Garamond" w:eastAsia="Times New Roman" w:hAnsi="Garamond"/>
          <w:color w:val="000000"/>
          <w:sz w:val="24"/>
          <w:szCs w:val="24"/>
          <w:lang w:eastAsia="ar-SA"/>
        </w:rPr>
        <w:t>La valutazione</w:t>
      </w:r>
      <w:r>
        <w:rPr>
          <w:rFonts w:ascii="Garamond" w:eastAsia="Times New Roman" w:hAnsi="Garamond"/>
          <w:color w:val="000000"/>
          <w:sz w:val="24"/>
          <w:szCs w:val="24"/>
          <w:lang w:eastAsia="ar-SA"/>
        </w:rPr>
        <w:t xml:space="preserve"> </w:t>
      </w:r>
      <w:r w:rsidRPr="00611500">
        <w:rPr>
          <w:rFonts w:ascii="Garamond" w:eastAsia="Times New Roman" w:hAnsi="Garamond"/>
          <w:color w:val="000000"/>
          <w:sz w:val="24"/>
          <w:szCs w:val="24"/>
          <w:lang w:eastAsia="ar-SA"/>
        </w:rPr>
        <w:t>è effettuata dal Responsabile del Centro di attività congiuntamente al Referente infermieristico, tecnico o amministrativo di riferimento e si articola su quattro livelli per l’attribuzione di un numero crescente di quote economiche:</w:t>
      </w:r>
    </w:p>
    <w:p w:rsidR="00611500" w:rsidRPr="00611500" w:rsidRDefault="00611500" w:rsidP="00611500">
      <w:pPr>
        <w:pStyle w:val="Paragrafoelenco"/>
        <w:numPr>
          <w:ilvl w:val="1"/>
          <w:numId w:val="46"/>
        </w:numPr>
        <w:suppressAutoHyphens w:val="0"/>
        <w:autoSpaceDE w:val="0"/>
        <w:autoSpaceDN w:val="0"/>
        <w:adjustRightInd w:val="0"/>
        <w:spacing w:line="360" w:lineRule="auto"/>
        <w:jc w:val="both"/>
        <w:textAlignment w:val="auto"/>
        <w:rPr>
          <w:rFonts w:ascii="Garamond" w:hAnsi="Garamond"/>
          <w:color w:val="000000"/>
        </w:rPr>
      </w:pPr>
      <w:r w:rsidRPr="00611500">
        <w:rPr>
          <w:rFonts w:ascii="Garamond" w:hAnsi="Garamond"/>
          <w:color w:val="000000"/>
        </w:rPr>
        <w:t>l’apporto individuale all’ottenimento del risultato è in linea con responsabilità, abilità e competenze di base previste per il profilo di appartenenza. A questo livello corrisponde l’erogazione della quota base senza ulteriori quote integrative.</w:t>
      </w:r>
    </w:p>
    <w:p w:rsidR="00611500" w:rsidRPr="00611500" w:rsidRDefault="00611500" w:rsidP="00611500">
      <w:pPr>
        <w:pStyle w:val="Paragrafoelenco"/>
        <w:numPr>
          <w:ilvl w:val="1"/>
          <w:numId w:val="46"/>
        </w:numPr>
        <w:suppressAutoHyphens w:val="0"/>
        <w:autoSpaceDE w:val="0"/>
        <w:autoSpaceDN w:val="0"/>
        <w:adjustRightInd w:val="0"/>
        <w:spacing w:after="200" w:line="360" w:lineRule="auto"/>
        <w:jc w:val="both"/>
        <w:textAlignment w:val="auto"/>
        <w:rPr>
          <w:rFonts w:ascii="Garamond" w:hAnsi="Garamond"/>
          <w:color w:val="000000"/>
        </w:rPr>
      </w:pPr>
      <w:r w:rsidRPr="00611500">
        <w:rPr>
          <w:rFonts w:ascii="Garamond" w:hAnsi="Garamond"/>
          <w:color w:val="000000"/>
        </w:rPr>
        <w:t xml:space="preserve">l’apporto individuale nell’ottenimento del risultato corrisponde pienamente alle responsabilità, abilità e competenze del profilo di appartenenza. L’espletamento delle funzioni avviene, inoltre, garantendo un sufficiente grado di collaborazione, impegno e disponibilità in modo tale che il contributo dato alla realizzazione dell’obiettivo sia </w:t>
      </w:r>
      <w:r w:rsidRPr="00611500">
        <w:rPr>
          <w:rFonts w:ascii="Garamond" w:hAnsi="Garamond"/>
          <w:color w:val="000000"/>
        </w:rPr>
        <w:lastRenderedPageBreak/>
        <w:t>superiore a quello del punto a).A questo livello corrisponde una quota economica integrativa.</w:t>
      </w:r>
    </w:p>
    <w:p w:rsidR="00611500" w:rsidRPr="00611500" w:rsidRDefault="00611500" w:rsidP="00611500">
      <w:pPr>
        <w:pStyle w:val="Paragrafoelenco"/>
        <w:numPr>
          <w:ilvl w:val="1"/>
          <w:numId w:val="46"/>
        </w:numPr>
        <w:suppressAutoHyphens w:val="0"/>
        <w:autoSpaceDE w:val="0"/>
        <w:autoSpaceDN w:val="0"/>
        <w:adjustRightInd w:val="0"/>
        <w:spacing w:after="200" w:line="360" w:lineRule="auto"/>
        <w:jc w:val="both"/>
        <w:textAlignment w:val="auto"/>
        <w:rPr>
          <w:rFonts w:ascii="Garamond" w:hAnsi="Garamond"/>
          <w:color w:val="000000"/>
        </w:rPr>
      </w:pPr>
      <w:r w:rsidRPr="00611500">
        <w:rPr>
          <w:rFonts w:ascii="Garamond" w:hAnsi="Garamond"/>
          <w:color w:val="000000"/>
        </w:rPr>
        <w:t xml:space="preserve">l’apporto individuale all’ottenimento del risultato corrisponde pienamente alle responsabilità, abilità e competenze del profilo di appartenenza, risolvendo spesso le criticità operative non </w:t>
      </w:r>
      <w:proofErr w:type="spellStart"/>
      <w:r w:rsidRPr="00611500">
        <w:rPr>
          <w:rFonts w:ascii="Garamond" w:hAnsi="Garamond"/>
          <w:color w:val="000000"/>
        </w:rPr>
        <w:t>routinarie</w:t>
      </w:r>
      <w:proofErr w:type="spellEnd"/>
      <w:r w:rsidRPr="00611500">
        <w:rPr>
          <w:rFonts w:ascii="Garamond" w:hAnsi="Garamond"/>
          <w:color w:val="000000"/>
        </w:rPr>
        <w:t>, in modo tale che il contributo dato alla realizzazione dell’obiettivo sia superiore al punto b). L’espletamento delle funzioni avviene, inoltre, garantendo un buon grado di collaborazione e di impegno. A questo livello corrispondono due quote economiche integrative.</w:t>
      </w:r>
    </w:p>
    <w:p w:rsidR="00611500" w:rsidRDefault="00611500" w:rsidP="00611500">
      <w:pPr>
        <w:pStyle w:val="Paragrafoelenco"/>
        <w:numPr>
          <w:ilvl w:val="1"/>
          <w:numId w:val="46"/>
        </w:numPr>
        <w:suppressAutoHyphens w:val="0"/>
        <w:autoSpaceDE w:val="0"/>
        <w:autoSpaceDN w:val="0"/>
        <w:adjustRightInd w:val="0"/>
        <w:spacing w:after="200" w:line="360" w:lineRule="auto"/>
        <w:jc w:val="both"/>
        <w:textAlignment w:val="auto"/>
        <w:rPr>
          <w:rFonts w:ascii="Garamond" w:hAnsi="Garamond"/>
          <w:color w:val="000000"/>
        </w:rPr>
      </w:pPr>
      <w:r w:rsidRPr="00611500">
        <w:rPr>
          <w:rFonts w:ascii="Garamond" w:hAnsi="Garamond"/>
          <w:color w:val="000000"/>
        </w:rPr>
        <w:t xml:space="preserve">l’apporto individuale all’ottenimento del risultato è eccellente, posto che riesce a massimizzare la propria produttività, autoregolandola in funzione degli obiettivi specifici e delle priorità complessive. Nella realizzazione delle attività rispetta sempre i tempi, garantendo un servizio/prodotto </w:t>
      </w:r>
      <w:proofErr w:type="spellStart"/>
      <w:r w:rsidRPr="00611500">
        <w:rPr>
          <w:rFonts w:ascii="Garamond" w:hAnsi="Garamond"/>
          <w:color w:val="000000"/>
        </w:rPr>
        <w:t>quali-quantitativamente</w:t>
      </w:r>
      <w:proofErr w:type="spellEnd"/>
      <w:r w:rsidRPr="00611500">
        <w:rPr>
          <w:rFonts w:ascii="Garamond" w:hAnsi="Garamond"/>
          <w:color w:val="000000"/>
        </w:rPr>
        <w:t xml:space="preserve"> apprezzabile, superiore a quello dei punti precedenti. L’espletamento delle funzioni avviene, inoltre, garantendo piena e costante collaborazione nonché elevato impegno. A questo livello corrispondono tre quote economiche integrative.</w:t>
      </w:r>
    </w:p>
    <w:p w:rsidR="00611500" w:rsidRPr="00611500" w:rsidRDefault="00611500" w:rsidP="00611500">
      <w:pPr>
        <w:autoSpaceDE w:val="0"/>
        <w:autoSpaceDN w:val="0"/>
        <w:adjustRightInd w:val="0"/>
        <w:spacing w:line="360" w:lineRule="auto"/>
        <w:jc w:val="both"/>
        <w:rPr>
          <w:rFonts w:ascii="Garamond" w:eastAsia="Times New Roman" w:hAnsi="Garamond"/>
          <w:color w:val="000000"/>
          <w:sz w:val="24"/>
          <w:szCs w:val="24"/>
          <w:lang w:eastAsia="ar-SA"/>
        </w:rPr>
      </w:pPr>
      <w:r w:rsidRPr="00611500">
        <w:rPr>
          <w:rFonts w:ascii="Garamond" w:eastAsia="Times New Roman" w:hAnsi="Garamond"/>
          <w:color w:val="000000"/>
          <w:sz w:val="24"/>
          <w:szCs w:val="24"/>
          <w:lang w:eastAsia="ar-SA"/>
        </w:rPr>
        <w:t>Il valutato può presentare istanza di ricorso avverso la valutazione entro 15 giorni dalla presa visione della scheda. Nell’istanza dovrà specificare chiaramente gli aspetti della valutazione oggetto di ricorso e le motivazioni. Durante il procedimento di ricorso può chiedere di farsi assistere da un rappresentante sindacale o da altra persona di fiducia. Competente per la valutazione di 2^ istanza è l’Organismo Indipendente di Valutazione, che procede, di norma, nella prima seduta utile successiva alla richiesta del valutato. Il procedimento di ricorso deve risultare a verbale e deve tenere conto delle motivazioni del valutato e del valutatore.</w:t>
      </w:r>
    </w:p>
    <w:p w:rsidR="00C65BC6" w:rsidRPr="00C65BC6" w:rsidRDefault="00C65BC6" w:rsidP="00C65BC6">
      <w:pPr>
        <w:spacing w:line="360" w:lineRule="auto"/>
        <w:jc w:val="both"/>
        <w:rPr>
          <w:rFonts w:ascii="Garamond" w:eastAsia="Times New Roman" w:hAnsi="Garamond"/>
          <w:color w:val="000000"/>
          <w:sz w:val="24"/>
          <w:szCs w:val="24"/>
          <w:lang w:eastAsia="ar-SA"/>
        </w:rPr>
      </w:pPr>
      <w:r w:rsidRPr="00C65BC6">
        <w:rPr>
          <w:rFonts w:ascii="Garamond" w:eastAsia="Times New Roman" w:hAnsi="Garamond"/>
          <w:color w:val="000000"/>
          <w:sz w:val="24"/>
          <w:szCs w:val="24"/>
          <w:lang w:eastAsia="ar-SA"/>
        </w:rPr>
        <w:t>Nel 2015 l’Azienda ha dato attuazione all’istituto “della quota integrativa” con la compilazione delle diverse schede. L’OIV nella seduta del 29 luglio e in seguito alla relazione sul “percorso aziendale dell’introduzione dell’istituto della quota integrativa” ha concluso la propria valutazione rinviando la valutazione per i ricorsi in atto.</w:t>
      </w:r>
    </w:p>
    <w:p w:rsidR="00930111" w:rsidRDefault="00930111">
      <w:r>
        <w:br w:type="page"/>
      </w:r>
    </w:p>
    <w:p w:rsidR="00930111" w:rsidRDefault="00930111" w:rsidP="00930111">
      <w:pPr>
        <w:jc w:val="both"/>
      </w:pPr>
      <w:r w:rsidRPr="00CF72C1">
        <w:lastRenderedPageBreak/>
        <w:t>La valutazione relativa all’apporto dei singoli per l’anno 2015 si è articolata come segue:</w:t>
      </w:r>
    </w:p>
    <w:tbl>
      <w:tblPr>
        <w:tblpPr w:leftFromText="141" w:rightFromText="141" w:vertAnchor="text" w:tblpY="1"/>
        <w:tblOverlap w:val="never"/>
        <w:tblW w:w="6252" w:type="dxa"/>
        <w:tblCellMar>
          <w:left w:w="70" w:type="dxa"/>
          <w:right w:w="70" w:type="dxa"/>
        </w:tblCellMar>
        <w:tblLook w:val="04A0"/>
      </w:tblPr>
      <w:tblGrid>
        <w:gridCol w:w="3276"/>
        <w:gridCol w:w="2976"/>
      </w:tblGrid>
      <w:tr w:rsidR="00930111" w:rsidRPr="00CF72C1" w:rsidTr="00183DF6">
        <w:trPr>
          <w:trHeight w:val="236"/>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0111" w:rsidRPr="00CF72C1" w:rsidRDefault="00930111" w:rsidP="00183DF6">
            <w:pPr>
              <w:spacing w:after="0" w:line="240" w:lineRule="auto"/>
              <w:jc w:val="both"/>
              <w:rPr>
                <w:rFonts w:eastAsia="Times New Roman" w:cs="Arial"/>
                <w:b/>
                <w:bCs/>
                <w:color w:val="000000"/>
                <w:lang w:eastAsia="it-IT"/>
              </w:rPr>
            </w:pPr>
            <w:r w:rsidRPr="00CF72C1">
              <w:rPr>
                <w:rFonts w:eastAsia="Times New Roman" w:cs="Arial"/>
                <w:b/>
                <w:bCs/>
                <w:color w:val="000000"/>
                <w:lang w:eastAsia="it-IT"/>
              </w:rPr>
              <w:t>comparto (201</w:t>
            </w:r>
            <w:r>
              <w:rPr>
                <w:rFonts w:eastAsia="Times New Roman" w:cs="Arial"/>
                <w:b/>
                <w:bCs/>
                <w:color w:val="000000"/>
                <w:lang w:eastAsia="it-IT"/>
              </w:rPr>
              <w:t>5</w:t>
            </w:r>
            <w:r w:rsidRPr="00CF72C1">
              <w:rPr>
                <w:rFonts w:eastAsia="Times New Roman" w:cs="Arial"/>
                <w:b/>
                <w:bCs/>
                <w:color w:val="000000"/>
                <w:lang w:eastAsia="it-IT"/>
              </w:rPr>
              <w:t>)</w:t>
            </w:r>
          </w:p>
        </w:tc>
      </w:tr>
      <w:tr w:rsidR="00930111" w:rsidRPr="00CF72C1" w:rsidTr="00183DF6">
        <w:trPr>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0111" w:rsidRPr="00E924D2" w:rsidRDefault="00930111" w:rsidP="00183DF6">
            <w:pPr>
              <w:spacing w:after="0" w:line="240" w:lineRule="auto"/>
              <w:jc w:val="both"/>
              <w:rPr>
                <w:rFonts w:eastAsia="Times New Roman" w:cs="Arial"/>
                <w:bCs/>
                <w:color w:val="000000"/>
                <w:lang w:eastAsia="it-IT"/>
              </w:rPr>
            </w:pPr>
            <w:r w:rsidRPr="00E924D2">
              <w:t>quota attribuita</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930111" w:rsidRPr="00E924D2" w:rsidRDefault="00930111" w:rsidP="00183DF6">
            <w:pPr>
              <w:spacing w:after="0" w:line="240" w:lineRule="auto"/>
              <w:jc w:val="both"/>
              <w:rPr>
                <w:rFonts w:eastAsia="Times New Roman" w:cs="Arial"/>
                <w:bCs/>
                <w:color w:val="000000"/>
                <w:lang w:eastAsia="it-IT"/>
              </w:rPr>
            </w:pPr>
            <w:r w:rsidRPr="00E924D2">
              <w:rPr>
                <w:rFonts w:eastAsia="Times New Roman" w:cs="Arial"/>
                <w:bCs/>
                <w:color w:val="000000"/>
                <w:lang w:eastAsia="it-IT"/>
              </w:rPr>
              <w:t>n. dipendenti</w:t>
            </w:r>
          </w:p>
        </w:tc>
      </w:tr>
      <w:tr w:rsidR="00930111" w:rsidRPr="00CF72C1" w:rsidTr="00183DF6">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A</w:t>
            </w:r>
          </w:p>
        </w:tc>
        <w:tc>
          <w:tcPr>
            <w:tcW w:w="2976" w:type="dxa"/>
            <w:tcBorders>
              <w:top w:val="nil"/>
              <w:left w:val="nil"/>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190</w:t>
            </w:r>
          </w:p>
        </w:tc>
      </w:tr>
      <w:tr w:rsidR="00930111" w:rsidRPr="00CF72C1" w:rsidTr="00183DF6">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B</w:t>
            </w:r>
          </w:p>
        </w:tc>
        <w:tc>
          <w:tcPr>
            <w:tcW w:w="2976" w:type="dxa"/>
            <w:tcBorders>
              <w:top w:val="nil"/>
              <w:left w:val="nil"/>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347</w:t>
            </w:r>
          </w:p>
        </w:tc>
      </w:tr>
      <w:tr w:rsidR="00930111" w:rsidRPr="00CF72C1" w:rsidTr="00183DF6">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C</w:t>
            </w:r>
          </w:p>
        </w:tc>
        <w:tc>
          <w:tcPr>
            <w:tcW w:w="2976" w:type="dxa"/>
            <w:tcBorders>
              <w:top w:val="nil"/>
              <w:left w:val="nil"/>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1981</w:t>
            </w:r>
          </w:p>
        </w:tc>
      </w:tr>
      <w:tr w:rsidR="00930111" w:rsidRPr="00CF72C1" w:rsidTr="00183DF6">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D</w:t>
            </w:r>
          </w:p>
        </w:tc>
        <w:tc>
          <w:tcPr>
            <w:tcW w:w="2976" w:type="dxa"/>
            <w:tcBorders>
              <w:top w:val="nil"/>
              <w:left w:val="nil"/>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654</w:t>
            </w:r>
          </w:p>
        </w:tc>
      </w:tr>
      <w:tr w:rsidR="00930111" w:rsidRPr="00CF72C1" w:rsidTr="00183DF6">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rPr>
                <w:rFonts w:eastAsia="Times New Roman"/>
                <w:lang w:eastAsia="it-IT"/>
              </w:rPr>
            </w:pPr>
            <w:r w:rsidRPr="00E924D2">
              <w:rPr>
                <w:rFonts w:eastAsia="Times New Roman"/>
                <w:lang w:eastAsia="it-IT"/>
              </w:rPr>
              <w:t>Totale complessivo</w:t>
            </w:r>
          </w:p>
        </w:tc>
        <w:tc>
          <w:tcPr>
            <w:tcW w:w="2976" w:type="dxa"/>
            <w:tcBorders>
              <w:top w:val="nil"/>
              <w:left w:val="nil"/>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right"/>
              <w:rPr>
                <w:rFonts w:eastAsia="Times New Roman"/>
                <w:lang w:eastAsia="it-IT"/>
              </w:rPr>
            </w:pPr>
            <w:r w:rsidRPr="00E924D2">
              <w:rPr>
                <w:rFonts w:eastAsia="Times New Roman"/>
                <w:lang w:eastAsia="it-IT"/>
              </w:rPr>
              <w:t>3172</w:t>
            </w:r>
          </w:p>
        </w:tc>
      </w:tr>
    </w:tbl>
    <w:p w:rsidR="00930111" w:rsidRDefault="00930111" w:rsidP="00930111">
      <w:pPr>
        <w:jc w:val="both"/>
        <w:rPr>
          <w:highlight w:val="yellow"/>
        </w:rPr>
      </w:pPr>
      <w:r>
        <w:rPr>
          <w:highlight w:val="yellow"/>
        </w:rPr>
        <w:br w:type="textWrapping" w:clear="all"/>
      </w:r>
    </w:p>
    <w:tbl>
      <w:tblPr>
        <w:tblW w:w="6252" w:type="dxa"/>
        <w:tblInd w:w="55" w:type="dxa"/>
        <w:tblCellMar>
          <w:left w:w="70" w:type="dxa"/>
          <w:right w:w="70" w:type="dxa"/>
        </w:tblCellMar>
        <w:tblLook w:val="04A0"/>
      </w:tblPr>
      <w:tblGrid>
        <w:gridCol w:w="3276"/>
        <w:gridCol w:w="2976"/>
      </w:tblGrid>
      <w:tr w:rsidR="00930111" w:rsidRPr="008A0884" w:rsidTr="00183DF6">
        <w:trPr>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111" w:rsidRPr="00CF72C1" w:rsidRDefault="00930111" w:rsidP="00183DF6">
            <w:pPr>
              <w:spacing w:after="0" w:line="240" w:lineRule="auto"/>
              <w:jc w:val="both"/>
              <w:rPr>
                <w:rFonts w:eastAsia="Times New Roman" w:cs="Arial"/>
                <w:b/>
                <w:bCs/>
                <w:color w:val="000000"/>
                <w:lang w:eastAsia="it-IT"/>
              </w:rPr>
            </w:pPr>
            <w:r w:rsidRPr="00CF72C1">
              <w:rPr>
                <w:rFonts w:eastAsia="Times New Roman" w:cs="Arial"/>
                <w:b/>
                <w:bCs/>
                <w:color w:val="000000"/>
                <w:lang w:eastAsia="it-IT"/>
              </w:rPr>
              <w:t xml:space="preserve">dirigenza medica </w:t>
            </w:r>
            <w:r>
              <w:rPr>
                <w:rFonts w:eastAsia="Times New Roman" w:cs="Arial"/>
                <w:b/>
                <w:bCs/>
                <w:color w:val="000000"/>
                <w:lang w:eastAsia="it-IT"/>
              </w:rPr>
              <w:t xml:space="preserve">e veterinaria </w:t>
            </w:r>
            <w:r w:rsidRPr="00CF72C1">
              <w:rPr>
                <w:rFonts w:eastAsia="Times New Roman" w:cs="Arial"/>
                <w:b/>
                <w:bCs/>
                <w:color w:val="000000"/>
                <w:lang w:eastAsia="it-IT"/>
              </w:rPr>
              <w:t>(201</w:t>
            </w:r>
            <w:r>
              <w:rPr>
                <w:rFonts w:eastAsia="Times New Roman" w:cs="Arial"/>
                <w:b/>
                <w:bCs/>
                <w:color w:val="000000"/>
                <w:lang w:eastAsia="it-IT"/>
              </w:rPr>
              <w:t>5</w:t>
            </w:r>
            <w:r w:rsidRPr="00CF72C1">
              <w:rPr>
                <w:rFonts w:eastAsia="Times New Roman" w:cs="Arial"/>
                <w:b/>
                <w:bCs/>
                <w:color w:val="000000"/>
                <w:lang w:eastAsia="it-IT"/>
              </w:rPr>
              <w:t>)</w:t>
            </w:r>
          </w:p>
        </w:tc>
      </w:tr>
      <w:tr w:rsidR="00930111" w:rsidRPr="008A0884" w:rsidTr="00183DF6">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both"/>
              <w:rPr>
                <w:rFonts w:eastAsia="Times New Roman" w:cs="Arial"/>
                <w:bCs/>
                <w:color w:val="000000"/>
                <w:lang w:eastAsia="it-IT"/>
              </w:rPr>
            </w:pPr>
            <w:r w:rsidRPr="00E924D2">
              <w:t>quota attribuita</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both"/>
              <w:rPr>
                <w:rFonts w:eastAsia="Times New Roman" w:cs="Arial"/>
                <w:bCs/>
                <w:color w:val="000000"/>
                <w:lang w:eastAsia="it-IT"/>
              </w:rPr>
            </w:pPr>
            <w:r w:rsidRPr="00E924D2">
              <w:rPr>
                <w:rFonts w:eastAsia="Times New Roman" w:cs="Arial"/>
                <w:bCs/>
                <w:color w:val="000000"/>
                <w:lang w:eastAsia="it-IT"/>
              </w:rPr>
              <w:t>n. dipendenti</w:t>
            </w:r>
          </w:p>
        </w:tc>
      </w:tr>
      <w:tr w:rsidR="00930111" w:rsidRPr="008A0884" w:rsidTr="00183DF6">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A</w:t>
            </w:r>
          </w:p>
        </w:tc>
        <w:tc>
          <w:tcPr>
            <w:tcW w:w="2976" w:type="dxa"/>
            <w:tcBorders>
              <w:top w:val="nil"/>
              <w:left w:val="nil"/>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24</w:t>
            </w:r>
          </w:p>
        </w:tc>
      </w:tr>
      <w:tr w:rsidR="00930111" w:rsidRPr="008A0884" w:rsidTr="00183DF6">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B</w:t>
            </w:r>
          </w:p>
        </w:tc>
        <w:tc>
          <w:tcPr>
            <w:tcW w:w="2976" w:type="dxa"/>
            <w:tcBorders>
              <w:top w:val="nil"/>
              <w:left w:val="nil"/>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31</w:t>
            </w:r>
          </w:p>
        </w:tc>
      </w:tr>
      <w:tr w:rsidR="00930111" w:rsidRPr="008A0884" w:rsidTr="00183DF6">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C</w:t>
            </w:r>
          </w:p>
        </w:tc>
        <w:tc>
          <w:tcPr>
            <w:tcW w:w="2976" w:type="dxa"/>
            <w:tcBorders>
              <w:top w:val="nil"/>
              <w:left w:val="nil"/>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342</w:t>
            </w:r>
          </w:p>
        </w:tc>
      </w:tr>
      <w:tr w:rsidR="00930111" w:rsidRPr="008A0884" w:rsidTr="00183DF6">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D</w:t>
            </w:r>
          </w:p>
        </w:tc>
        <w:tc>
          <w:tcPr>
            <w:tcW w:w="2976" w:type="dxa"/>
            <w:tcBorders>
              <w:top w:val="nil"/>
              <w:left w:val="nil"/>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74</w:t>
            </w:r>
          </w:p>
        </w:tc>
      </w:tr>
      <w:tr w:rsidR="00930111" w:rsidRPr="008A0884" w:rsidTr="00183DF6">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rPr>
                <w:rFonts w:eastAsia="Times New Roman"/>
                <w:lang w:eastAsia="it-IT"/>
              </w:rPr>
            </w:pPr>
            <w:r w:rsidRPr="00E924D2">
              <w:rPr>
                <w:rFonts w:eastAsia="Times New Roman"/>
                <w:lang w:eastAsia="it-IT"/>
              </w:rPr>
              <w:t>Totale complessivo</w:t>
            </w:r>
          </w:p>
        </w:tc>
        <w:tc>
          <w:tcPr>
            <w:tcW w:w="2976" w:type="dxa"/>
            <w:tcBorders>
              <w:top w:val="nil"/>
              <w:left w:val="nil"/>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right"/>
              <w:rPr>
                <w:rFonts w:eastAsia="Times New Roman"/>
                <w:lang w:eastAsia="it-IT"/>
              </w:rPr>
            </w:pPr>
            <w:r w:rsidRPr="00E924D2">
              <w:rPr>
                <w:rFonts w:eastAsia="Times New Roman"/>
                <w:lang w:eastAsia="it-IT"/>
              </w:rPr>
              <w:t>471</w:t>
            </w:r>
          </w:p>
        </w:tc>
      </w:tr>
    </w:tbl>
    <w:p w:rsidR="00930111" w:rsidRDefault="00930111" w:rsidP="00930111">
      <w:pPr>
        <w:jc w:val="both"/>
        <w:rPr>
          <w:highlight w:val="yellow"/>
        </w:rPr>
      </w:pPr>
    </w:p>
    <w:tbl>
      <w:tblPr>
        <w:tblW w:w="6252" w:type="dxa"/>
        <w:tblInd w:w="55" w:type="dxa"/>
        <w:tblCellMar>
          <w:left w:w="70" w:type="dxa"/>
          <w:right w:w="70" w:type="dxa"/>
        </w:tblCellMar>
        <w:tblLook w:val="04A0"/>
      </w:tblPr>
      <w:tblGrid>
        <w:gridCol w:w="3276"/>
        <w:gridCol w:w="2976"/>
      </w:tblGrid>
      <w:tr w:rsidR="00930111" w:rsidRPr="00275687" w:rsidTr="00183DF6">
        <w:trPr>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111" w:rsidRPr="00CF72C1" w:rsidRDefault="00930111" w:rsidP="00930111">
            <w:pPr>
              <w:spacing w:after="0" w:line="240" w:lineRule="auto"/>
              <w:jc w:val="both"/>
              <w:rPr>
                <w:rFonts w:eastAsia="Times New Roman" w:cs="Arial"/>
                <w:b/>
                <w:bCs/>
                <w:color w:val="000000"/>
                <w:lang w:eastAsia="it-IT"/>
              </w:rPr>
            </w:pPr>
            <w:r w:rsidRPr="00CF72C1">
              <w:rPr>
                <w:rFonts w:eastAsia="Times New Roman" w:cs="Arial"/>
                <w:b/>
                <w:bCs/>
                <w:color w:val="000000"/>
                <w:lang w:eastAsia="it-IT"/>
              </w:rPr>
              <w:t>dirigenza SPTA (201</w:t>
            </w:r>
            <w:r>
              <w:rPr>
                <w:rFonts w:eastAsia="Times New Roman" w:cs="Arial"/>
                <w:b/>
                <w:bCs/>
                <w:color w:val="000000"/>
                <w:lang w:eastAsia="it-IT"/>
              </w:rPr>
              <w:t>5</w:t>
            </w:r>
            <w:r w:rsidRPr="00CF72C1">
              <w:rPr>
                <w:rFonts w:eastAsia="Times New Roman" w:cs="Arial"/>
                <w:b/>
                <w:bCs/>
                <w:color w:val="000000"/>
                <w:lang w:eastAsia="it-IT"/>
              </w:rPr>
              <w:t>)</w:t>
            </w:r>
          </w:p>
        </w:tc>
      </w:tr>
      <w:tr w:rsidR="00930111" w:rsidRPr="00275687" w:rsidTr="00183DF6">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both"/>
              <w:rPr>
                <w:rFonts w:eastAsia="Times New Roman" w:cs="Arial"/>
                <w:bCs/>
                <w:color w:val="000000"/>
                <w:lang w:eastAsia="it-IT"/>
              </w:rPr>
            </w:pPr>
            <w:r w:rsidRPr="00E924D2">
              <w:t>quota attribuita</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both"/>
              <w:rPr>
                <w:rFonts w:eastAsia="Times New Roman" w:cs="Arial"/>
                <w:bCs/>
                <w:color w:val="000000"/>
                <w:lang w:eastAsia="it-IT"/>
              </w:rPr>
            </w:pPr>
            <w:r w:rsidRPr="00E924D2">
              <w:rPr>
                <w:rFonts w:eastAsia="Times New Roman" w:cs="Arial"/>
                <w:bCs/>
                <w:color w:val="000000"/>
                <w:lang w:eastAsia="it-IT"/>
              </w:rPr>
              <w:t>n. dipendenti</w:t>
            </w:r>
          </w:p>
        </w:tc>
      </w:tr>
      <w:tr w:rsidR="00930111" w:rsidRPr="00275687" w:rsidTr="00183DF6">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B</w:t>
            </w:r>
          </w:p>
        </w:tc>
        <w:tc>
          <w:tcPr>
            <w:tcW w:w="2976" w:type="dxa"/>
            <w:tcBorders>
              <w:top w:val="nil"/>
              <w:left w:val="nil"/>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6</w:t>
            </w:r>
          </w:p>
        </w:tc>
      </w:tr>
      <w:tr w:rsidR="00930111" w:rsidRPr="00275687" w:rsidTr="00183DF6">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C</w:t>
            </w:r>
          </w:p>
        </w:tc>
        <w:tc>
          <w:tcPr>
            <w:tcW w:w="2976" w:type="dxa"/>
            <w:tcBorders>
              <w:top w:val="nil"/>
              <w:left w:val="nil"/>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39</w:t>
            </w:r>
          </w:p>
        </w:tc>
      </w:tr>
      <w:tr w:rsidR="00930111" w:rsidRPr="00275687" w:rsidTr="00183DF6">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D</w:t>
            </w:r>
          </w:p>
        </w:tc>
        <w:tc>
          <w:tcPr>
            <w:tcW w:w="2976" w:type="dxa"/>
            <w:tcBorders>
              <w:top w:val="nil"/>
              <w:left w:val="nil"/>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center"/>
              <w:rPr>
                <w:rFonts w:eastAsia="Times New Roman"/>
                <w:lang w:eastAsia="it-IT"/>
              </w:rPr>
            </w:pPr>
            <w:r w:rsidRPr="00E924D2">
              <w:rPr>
                <w:rFonts w:eastAsia="Times New Roman"/>
                <w:lang w:eastAsia="it-IT"/>
              </w:rPr>
              <w:t>7</w:t>
            </w:r>
          </w:p>
        </w:tc>
      </w:tr>
      <w:tr w:rsidR="00930111" w:rsidRPr="00275687" w:rsidTr="00183DF6">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rPr>
                <w:rFonts w:eastAsia="Times New Roman"/>
                <w:lang w:eastAsia="it-IT"/>
              </w:rPr>
            </w:pPr>
            <w:r w:rsidRPr="00E924D2">
              <w:rPr>
                <w:rFonts w:eastAsia="Times New Roman"/>
                <w:lang w:eastAsia="it-IT"/>
              </w:rPr>
              <w:t>Totale complessivo</w:t>
            </w:r>
          </w:p>
        </w:tc>
        <w:tc>
          <w:tcPr>
            <w:tcW w:w="2976" w:type="dxa"/>
            <w:tcBorders>
              <w:top w:val="nil"/>
              <w:left w:val="nil"/>
              <w:bottom w:val="single" w:sz="4" w:space="0" w:color="auto"/>
              <w:right w:val="single" w:sz="4" w:space="0" w:color="auto"/>
            </w:tcBorders>
            <w:shd w:val="clear" w:color="auto" w:fill="auto"/>
            <w:noWrap/>
            <w:vAlign w:val="bottom"/>
            <w:hideMark/>
          </w:tcPr>
          <w:p w:rsidR="00930111" w:rsidRPr="00E924D2" w:rsidRDefault="00930111" w:rsidP="00183DF6">
            <w:pPr>
              <w:spacing w:after="0" w:line="240" w:lineRule="auto"/>
              <w:jc w:val="right"/>
              <w:rPr>
                <w:rFonts w:eastAsia="Times New Roman"/>
                <w:lang w:eastAsia="it-IT"/>
              </w:rPr>
            </w:pPr>
            <w:r w:rsidRPr="00E924D2">
              <w:rPr>
                <w:rFonts w:eastAsia="Times New Roman"/>
                <w:lang w:eastAsia="it-IT"/>
              </w:rPr>
              <w:t>52</w:t>
            </w:r>
          </w:p>
        </w:tc>
      </w:tr>
    </w:tbl>
    <w:p w:rsidR="00930111" w:rsidRDefault="00930111" w:rsidP="00930111">
      <w:pPr>
        <w:spacing w:line="240" w:lineRule="auto"/>
        <w:jc w:val="both"/>
      </w:pPr>
      <w:bookmarkStart w:id="0" w:name="_GoBack"/>
      <w:bookmarkEnd w:id="0"/>
    </w:p>
    <w:sectPr w:rsidR="00930111" w:rsidSect="000B4652">
      <w:footerReference w:type="default" r:id="rId11"/>
      <w:pgSz w:w="11906" w:h="16838"/>
      <w:pgMar w:top="1417" w:right="1134" w:bottom="1134" w:left="1134" w:header="708" w:footer="708"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7A4" w:rsidRDefault="000057A4" w:rsidP="0054796D">
      <w:pPr>
        <w:spacing w:after="0" w:line="240" w:lineRule="auto"/>
      </w:pPr>
      <w:r>
        <w:separator/>
      </w:r>
    </w:p>
  </w:endnote>
  <w:endnote w:type="continuationSeparator" w:id="0">
    <w:p w:rsidR="000057A4" w:rsidRDefault="000057A4" w:rsidP="00547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54" w:rsidRDefault="00471954">
    <w:pPr>
      <w:pStyle w:val="Pidipagina"/>
      <w:pBdr>
        <w:top w:val="thinThickSmallGap" w:sz="24" w:space="1" w:color="622423" w:themeColor="accent2" w:themeShade="7F"/>
      </w:pBdr>
      <w:rPr>
        <w:rFonts w:asciiTheme="majorHAnsi" w:hAnsiTheme="majorHAnsi"/>
      </w:rPr>
    </w:pPr>
    <w:r w:rsidRPr="0054796D">
      <w:rPr>
        <w:rFonts w:asciiTheme="majorHAnsi" w:hAnsiTheme="majorHAnsi"/>
        <w:sz w:val="20"/>
        <w:szCs w:val="20"/>
      </w:rPr>
      <w:t>Relazione sulla performance anno 201</w:t>
    </w:r>
    <w:r>
      <w:rPr>
        <w:rFonts w:asciiTheme="majorHAnsi" w:hAnsiTheme="majorHAnsi"/>
        <w:sz w:val="20"/>
        <w:szCs w:val="20"/>
      </w:rPr>
      <w:t>5</w:t>
    </w:r>
    <w:r w:rsidRPr="0054796D">
      <w:rPr>
        <w:rFonts w:asciiTheme="majorHAnsi" w:hAnsiTheme="majorHAnsi"/>
        <w:sz w:val="20"/>
        <w:szCs w:val="20"/>
      </w:rPr>
      <w:ptab w:relativeTo="margin" w:alignment="right" w:leader="none"/>
    </w:r>
    <w:r w:rsidRPr="0054796D">
      <w:rPr>
        <w:rFonts w:asciiTheme="majorHAnsi" w:hAnsiTheme="majorHAnsi"/>
        <w:sz w:val="20"/>
        <w:szCs w:val="20"/>
      </w:rPr>
      <w:t>Pagina</w:t>
    </w:r>
    <w:r>
      <w:rPr>
        <w:rFonts w:asciiTheme="majorHAnsi" w:hAnsiTheme="majorHAnsi"/>
      </w:rPr>
      <w:t xml:space="preserve"> </w:t>
    </w:r>
    <w:r w:rsidR="00964889" w:rsidRPr="00964889">
      <w:fldChar w:fldCharType="begin"/>
    </w:r>
    <w:r w:rsidR="00507531">
      <w:instrText xml:space="preserve"> PAGE   \* MERGEFORMAT </w:instrText>
    </w:r>
    <w:r w:rsidR="00964889" w:rsidRPr="00964889">
      <w:fldChar w:fldCharType="separate"/>
    </w:r>
    <w:r w:rsidR="00605157" w:rsidRPr="00605157">
      <w:rPr>
        <w:rFonts w:asciiTheme="majorHAnsi" w:hAnsiTheme="majorHAnsi"/>
        <w:noProof/>
      </w:rPr>
      <w:t>1</w:t>
    </w:r>
    <w:r w:rsidR="00964889">
      <w:rPr>
        <w:rFonts w:asciiTheme="majorHAnsi" w:hAnsiTheme="majorHAnsi"/>
        <w:noProof/>
      </w:rPr>
      <w:fldChar w:fldCharType="end"/>
    </w:r>
  </w:p>
  <w:p w:rsidR="00471954" w:rsidRDefault="0047195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7A4" w:rsidRDefault="000057A4" w:rsidP="0054796D">
      <w:pPr>
        <w:spacing w:after="0" w:line="240" w:lineRule="auto"/>
      </w:pPr>
      <w:r>
        <w:separator/>
      </w:r>
    </w:p>
  </w:footnote>
  <w:footnote w:type="continuationSeparator" w:id="0">
    <w:p w:rsidR="000057A4" w:rsidRDefault="000057A4" w:rsidP="005479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DA4"/>
    <w:multiLevelType w:val="hybridMultilevel"/>
    <w:tmpl w:val="88FEDC32"/>
    <w:lvl w:ilvl="0" w:tplc="04100001">
      <w:start w:val="1"/>
      <w:numFmt w:val="bullet"/>
      <w:lvlText w:val=""/>
      <w:lvlJc w:val="left"/>
      <w:pPr>
        <w:ind w:left="2136" w:hanging="360"/>
      </w:pPr>
      <w:rPr>
        <w:rFonts w:ascii="Symbol" w:hAnsi="Symbol" w:hint="default"/>
      </w:rPr>
    </w:lvl>
    <w:lvl w:ilvl="1" w:tplc="04100003">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
    <w:nsid w:val="03B275CD"/>
    <w:multiLevelType w:val="hybridMultilevel"/>
    <w:tmpl w:val="12C8FA1C"/>
    <w:lvl w:ilvl="0" w:tplc="8550C8C6">
      <w:start w:val="1"/>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651168"/>
    <w:multiLevelType w:val="hybridMultilevel"/>
    <w:tmpl w:val="052A9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825783"/>
    <w:multiLevelType w:val="hybridMultilevel"/>
    <w:tmpl w:val="16644C9C"/>
    <w:lvl w:ilvl="0" w:tplc="DB444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F10836"/>
    <w:multiLevelType w:val="hybridMultilevel"/>
    <w:tmpl w:val="D8EEA17C"/>
    <w:lvl w:ilvl="0" w:tplc="8C3C865C">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113D0DD8"/>
    <w:multiLevelType w:val="hybridMultilevel"/>
    <w:tmpl w:val="13A4F810"/>
    <w:lvl w:ilvl="0" w:tplc="1AB04D18">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3CA5FA6"/>
    <w:multiLevelType w:val="hybridMultilevel"/>
    <w:tmpl w:val="47C831B0"/>
    <w:lvl w:ilvl="0" w:tplc="547EF552">
      <w:start w:val="1"/>
      <w:numFmt w:val="decimal"/>
      <w:lvlText w:val="%1."/>
      <w:lvlJc w:val="left"/>
      <w:pPr>
        <w:ind w:left="786"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244647"/>
    <w:multiLevelType w:val="hybridMultilevel"/>
    <w:tmpl w:val="A4FCC6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2A1D88"/>
    <w:multiLevelType w:val="hybridMultilevel"/>
    <w:tmpl w:val="557C0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5967FF"/>
    <w:multiLevelType w:val="hybridMultilevel"/>
    <w:tmpl w:val="D13A28D2"/>
    <w:lvl w:ilvl="0" w:tplc="5B0690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701563"/>
    <w:multiLevelType w:val="hybridMultilevel"/>
    <w:tmpl w:val="AC90C5D4"/>
    <w:lvl w:ilvl="0" w:tplc="C1CC3C1E">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212B4F"/>
    <w:multiLevelType w:val="hybridMultilevel"/>
    <w:tmpl w:val="5282A81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532B79"/>
    <w:multiLevelType w:val="hybridMultilevel"/>
    <w:tmpl w:val="F574E394"/>
    <w:lvl w:ilvl="0" w:tplc="04100001">
      <w:start w:val="1"/>
      <w:numFmt w:val="bullet"/>
      <w:lvlText w:val=""/>
      <w:lvlJc w:val="left"/>
      <w:pPr>
        <w:ind w:left="2226"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3">
    <w:nsid w:val="229E40B6"/>
    <w:multiLevelType w:val="hybridMultilevel"/>
    <w:tmpl w:val="1A7414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231461DB"/>
    <w:multiLevelType w:val="hybridMultilevel"/>
    <w:tmpl w:val="B38CAA0A"/>
    <w:lvl w:ilvl="0" w:tplc="0410000F">
      <w:start w:val="1"/>
      <w:numFmt w:val="decimal"/>
      <w:lvlText w:val="%1."/>
      <w:lvlJc w:val="left"/>
      <w:pPr>
        <w:ind w:left="720" w:hanging="360"/>
      </w:pPr>
      <w:rPr>
        <w:rFonts w:hint="default"/>
      </w:rPr>
    </w:lvl>
    <w:lvl w:ilvl="1" w:tplc="6520DB58">
      <w:numFmt w:val="bullet"/>
      <w:lvlText w:val="-"/>
      <w:lvlJc w:val="left"/>
      <w:pPr>
        <w:ind w:left="1440" w:hanging="360"/>
      </w:pPr>
      <w:rPr>
        <w:rFonts w:ascii="MS Mincho" w:eastAsia="MS Mincho" w:hAnsi="MS Mincho" w:cs="MS Mincho" w:hint="default"/>
      </w:rPr>
    </w:lvl>
    <w:lvl w:ilvl="2" w:tplc="E04A3552">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017E66"/>
    <w:multiLevelType w:val="hybridMultilevel"/>
    <w:tmpl w:val="86922FF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63A3060"/>
    <w:multiLevelType w:val="hybridMultilevel"/>
    <w:tmpl w:val="0E0C5AB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nsid w:val="266F16ED"/>
    <w:multiLevelType w:val="hybridMultilevel"/>
    <w:tmpl w:val="557C0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6764530"/>
    <w:multiLevelType w:val="hybridMultilevel"/>
    <w:tmpl w:val="E742637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92F1AB5"/>
    <w:multiLevelType w:val="hybridMultilevel"/>
    <w:tmpl w:val="95DA46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BB5B8A"/>
    <w:multiLevelType w:val="hybridMultilevel"/>
    <w:tmpl w:val="5DEC8FC0"/>
    <w:lvl w:ilvl="0" w:tplc="BA48D642">
      <w:start w:val="1"/>
      <w:numFmt w:val="upperLetter"/>
      <w:lvlText w:val="%1)"/>
      <w:lvlJc w:val="left"/>
      <w:pPr>
        <w:ind w:left="1211" w:hanging="360"/>
      </w:pPr>
      <w:rPr>
        <w:rFonts w:cs="Times New Roman" w:hint="default"/>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21">
    <w:nsid w:val="30A15C9A"/>
    <w:multiLevelType w:val="hybridMultilevel"/>
    <w:tmpl w:val="B1301B5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6A351F9"/>
    <w:multiLevelType w:val="hybridMultilevel"/>
    <w:tmpl w:val="02ACEF4C"/>
    <w:lvl w:ilvl="0" w:tplc="89EA6C46">
      <w:start w:val="2010"/>
      <w:numFmt w:val="bullet"/>
      <w:lvlText w:val="-"/>
      <w:lvlJc w:val="left"/>
      <w:pPr>
        <w:tabs>
          <w:tab w:val="num" w:pos="765"/>
        </w:tabs>
        <w:ind w:left="765" w:hanging="360"/>
      </w:pPr>
      <w:rPr>
        <w:rFonts w:ascii="DecimaWE Rg" w:eastAsia="Times New Roman" w:hAnsi="DecimaWE Rg" w:hint="default"/>
      </w:rPr>
    </w:lvl>
    <w:lvl w:ilvl="1" w:tplc="04100003">
      <w:start w:val="1"/>
      <w:numFmt w:val="bullet"/>
      <w:lvlText w:val="o"/>
      <w:lvlJc w:val="left"/>
      <w:pPr>
        <w:tabs>
          <w:tab w:val="num" w:pos="1485"/>
        </w:tabs>
        <w:ind w:left="1485" w:hanging="360"/>
      </w:pPr>
      <w:rPr>
        <w:rFonts w:ascii="Courier New" w:hAnsi="Courier New" w:hint="default"/>
      </w:rPr>
    </w:lvl>
    <w:lvl w:ilvl="2" w:tplc="04100005">
      <w:start w:val="1"/>
      <w:numFmt w:val="bullet"/>
      <w:lvlText w:val=""/>
      <w:lvlJc w:val="left"/>
      <w:pPr>
        <w:tabs>
          <w:tab w:val="num" w:pos="2205"/>
        </w:tabs>
        <w:ind w:left="2205" w:hanging="360"/>
      </w:pPr>
      <w:rPr>
        <w:rFonts w:ascii="Wingdings" w:hAnsi="Wingdings" w:hint="default"/>
      </w:rPr>
    </w:lvl>
    <w:lvl w:ilvl="3" w:tplc="04100001">
      <w:start w:val="1"/>
      <w:numFmt w:val="bullet"/>
      <w:lvlText w:val=""/>
      <w:lvlJc w:val="left"/>
      <w:pPr>
        <w:tabs>
          <w:tab w:val="num" w:pos="2925"/>
        </w:tabs>
        <w:ind w:left="2925" w:hanging="360"/>
      </w:pPr>
      <w:rPr>
        <w:rFonts w:ascii="Symbol" w:hAnsi="Symbol" w:hint="default"/>
      </w:rPr>
    </w:lvl>
    <w:lvl w:ilvl="4" w:tplc="04100003">
      <w:start w:val="1"/>
      <w:numFmt w:val="bullet"/>
      <w:lvlText w:val="o"/>
      <w:lvlJc w:val="left"/>
      <w:pPr>
        <w:tabs>
          <w:tab w:val="num" w:pos="3645"/>
        </w:tabs>
        <w:ind w:left="3645" w:hanging="360"/>
      </w:pPr>
      <w:rPr>
        <w:rFonts w:ascii="Courier New" w:hAnsi="Courier New" w:hint="default"/>
      </w:rPr>
    </w:lvl>
    <w:lvl w:ilvl="5" w:tplc="04100005">
      <w:start w:val="1"/>
      <w:numFmt w:val="bullet"/>
      <w:lvlText w:val=""/>
      <w:lvlJc w:val="left"/>
      <w:pPr>
        <w:tabs>
          <w:tab w:val="num" w:pos="4365"/>
        </w:tabs>
        <w:ind w:left="4365" w:hanging="360"/>
      </w:pPr>
      <w:rPr>
        <w:rFonts w:ascii="Wingdings" w:hAnsi="Wingdings" w:hint="default"/>
      </w:rPr>
    </w:lvl>
    <w:lvl w:ilvl="6" w:tplc="04100001">
      <w:start w:val="1"/>
      <w:numFmt w:val="bullet"/>
      <w:lvlText w:val=""/>
      <w:lvlJc w:val="left"/>
      <w:pPr>
        <w:tabs>
          <w:tab w:val="num" w:pos="5085"/>
        </w:tabs>
        <w:ind w:left="5085" w:hanging="360"/>
      </w:pPr>
      <w:rPr>
        <w:rFonts w:ascii="Symbol" w:hAnsi="Symbol" w:hint="default"/>
      </w:rPr>
    </w:lvl>
    <w:lvl w:ilvl="7" w:tplc="04100003">
      <w:start w:val="1"/>
      <w:numFmt w:val="bullet"/>
      <w:lvlText w:val="o"/>
      <w:lvlJc w:val="left"/>
      <w:pPr>
        <w:tabs>
          <w:tab w:val="num" w:pos="5805"/>
        </w:tabs>
        <w:ind w:left="5805" w:hanging="360"/>
      </w:pPr>
      <w:rPr>
        <w:rFonts w:ascii="Courier New" w:hAnsi="Courier New" w:hint="default"/>
      </w:rPr>
    </w:lvl>
    <w:lvl w:ilvl="8" w:tplc="04100005">
      <w:start w:val="1"/>
      <w:numFmt w:val="bullet"/>
      <w:lvlText w:val=""/>
      <w:lvlJc w:val="left"/>
      <w:pPr>
        <w:tabs>
          <w:tab w:val="num" w:pos="6525"/>
        </w:tabs>
        <w:ind w:left="6525" w:hanging="360"/>
      </w:pPr>
      <w:rPr>
        <w:rFonts w:ascii="Wingdings" w:hAnsi="Wingdings" w:hint="default"/>
      </w:rPr>
    </w:lvl>
  </w:abstractNum>
  <w:abstractNum w:abstractNumId="23">
    <w:nsid w:val="3C815758"/>
    <w:multiLevelType w:val="hybridMultilevel"/>
    <w:tmpl w:val="127C6F28"/>
    <w:lvl w:ilvl="0" w:tplc="04100001">
      <w:start w:val="1"/>
      <w:numFmt w:val="bullet"/>
      <w:lvlText w:val=""/>
      <w:lvlJc w:val="left"/>
      <w:pPr>
        <w:ind w:left="4260"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24">
    <w:nsid w:val="3DC03F71"/>
    <w:multiLevelType w:val="hybridMultilevel"/>
    <w:tmpl w:val="1C02020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31C5C24"/>
    <w:multiLevelType w:val="hybridMultilevel"/>
    <w:tmpl w:val="25BE6C9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3781009"/>
    <w:multiLevelType w:val="hybridMultilevel"/>
    <w:tmpl w:val="8FC8698E"/>
    <w:lvl w:ilvl="0" w:tplc="F01E72FE">
      <w:start w:val="1"/>
      <w:numFmt w:val="upperLetter"/>
      <w:lvlText w:val="%1)"/>
      <w:lvlJc w:val="left"/>
      <w:pPr>
        <w:tabs>
          <w:tab w:val="num" w:pos="1260"/>
        </w:tabs>
        <w:ind w:left="1260" w:hanging="360"/>
      </w:pPr>
      <w:rPr>
        <w:rFonts w:hint="default"/>
      </w:rPr>
    </w:lvl>
    <w:lvl w:ilvl="1" w:tplc="EE34F05C">
      <w:start w:val="1"/>
      <w:numFmt w:val="bullet"/>
      <w:lvlText w:val="-"/>
      <w:lvlJc w:val="left"/>
      <w:pPr>
        <w:tabs>
          <w:tab w:val="num" w:pos="2340"/>
        </w:tabs>
        <w:ind w:left="2340" w:hanging="360"/>
      </w:pPr>
      <w:rPr>
        <w:rFonts w:ascii="Times New Roman" w:eastAsia="Times New Roman" w:hAnsi="Times New Roman" w:cs="Times New Roman" w:hint="default"/>
      </w:rPr>
    </w:lvl>
    <w:lvl w:ilvl="2" w:tplc="3AA42474">
      <w:numFmt w:val="bullet"/>
      <w:lvlText w:val="-"/>
      <w:lvlJc w:val="left"/>
      <w:pPr>
        <w:tabs>
          <w:tab w:val="num" w:pos="2880"/>
        </w:tabs>
        <w:ind w:left="2880" w:hanging="360"/>
      </w:pPr>
      <w:rPr>
        <w:rFonts w:ascii="Times New Roman" w:eastAsia="Times New Roman" w:hAnsi="Times New Roman" w:cs="Times New Roman" w:hint="default"/>
      </w:rPr>
    </w:lvl>
    <w:lvl w:ilvl="3" w:tplc="36164DBC">
      <w:start w:val="3"/>
      <w:numFmt w:val="upperLetter"/>
      <w:lvlText w:val="%4)"/>
      <w:lvlJc w:val="left"/>
      <w:pPr>
        <w:tabs>
          <w:tab w:val="num" w:pos="1260"/>
        </w:tabs>
        <w:ind w:left="1260" w:hanging="360"/>
      </w:pPr>
      <w:rPr>
        <w:rFonts w:hint="default"/>
      </w:rPr>
    </w:lvl>
    <w:lvl w:ilvl="4" w:tplc="46CEA962">
      <w:start w:val="4"/>
      <w:numFmt w:val="upperLetter"/>
      <w:lvlText w:val="%5)"/>
      <w:lvlJc w:val="left"/>
      <w:pPr>
        <w:tabs>
          <w:tab w:val="num" w:pos="360"/>
        </w:tabs>
        <w:ind w:left="360" w:hanging="360"/>
      </w:pPr>
      <w:rPr>
        <w:rFonts w:hint="default"/>
      </w:r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27">
    <w:nsid w:val="4B4C71AA"/>
    <w:multiLevelType w:val="hybridMultilevel"/>
    <w:tmpl w:val="9DFC34D8"/>
    <w:lvl w:ilvl="0" w:tplc="04100011">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C67575B"/>
    <w:multiLevelType w:val="hybridMultilevel"/>
    <w:tmpl w:val="6E88BAB4"/>
    <w:lvl w:ilvl="0" w:tplc="295872DC">
      <w:start w:val="1"/>
      <w:numFmt w:val="lowerLetter"/>
      <w:lvlText w:val="%1)"/>
      <w:lvlJc w:val="left"/>
      <w:pPr>
        <w:ind w:left="720" w:hanging="360"/>
      </w:pPr>
      <w:rPr>
        <w:rFonts w:hint="default"/>
        <w:b w:val="0"/>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1CF3621"/>
    <w:multiLevelType w:val="hybridMultilevel"/>
    <w:tmpl w:val="AF40955A"/>
    <w:lvl w:ilvl="0" w:tplc="DB444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5532AA0"/>
    <w:multiLevelType w:val="hybridMultilevel"/>
    <w:tmpl w:val="8FE6D746"/>
    <w:lvl w:ilvl="0" w:tplc="547EF552">
      <w:start w:val="1"/>
      <w:numFmt w:val="decimal"/>
      <w:lvlText w:val="%1."/>
      <w:lvlJc w:val="left"/>
      <w:pPr>
        <w:ind w:left="786"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89875E6"/>
    <w:multiLevelType w:val="hybridMultilevel"/>
    <w:tmpl w:val="3F8AF4C4"/>
    <w:lvl w:ilvl="0" w:tplc="0410000F">
      <w:start w:val="1"/>
      <w:numFmt w:val="decimal"/>
      <w:lvlText w:val="%1."/>
      <w:lvlJc w:val="left"/>
      <w:pPr>
        <w:ind w:left="360" w:hanging="360"/>
      </w:pPr>
      <w:rPr>
        <w:rFonts w:cs="Times New Roman" w:hint="default"/>
      </w:r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595016BF"/>
    <w:multiLevelType w:val="hybridMultilevel"/>
    <w:tmpl w:val="BF607D88"/>
    <w:lvl w:ilvl="0" w:tplc="04100001">
      <w:start w:val="1"/>
      <w:numFmt w:val="bullet"/>
      <w:lvlText w:val=""/>
      <w:lvlJc w:val="left"/>
      <w:pPr>
        <w:ind w:left="2922" w:hanging="360"/>
      </w:pPr>
      <w:rPr>
        <w:rFonts w:ascii="Symbol" w:hAnsi="Symbol" w:hint="default"/>
      </w:rPr>
    </w:lvl>
    <w:lvl w:ilvl="1" w:tplc="04100003">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33">
    <w:nsid w:val="5A216E43"/>
    <w:multiLevelType w:val="hybridMultilevel"/>
    <w:tmpl w:val="C3BCA39E"/>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C700AA4"/>
    <w:multiLevelType w:val="hybridMultilevel"/>
    <w:tmpl w:val="178E2648"/>
    <w:lvl w:ilvl="0" w:tplc="7812BAE6">
      <w:start w:val="1"/>
      <w:numFmt w:val="decimal"/>
      <w:lvlText w:val="%1."/>
      <w:lvlJc w:val="left"/>
      <w:pPr>
        <w:ind w:left="720" w:hanging="360"/>
      </w:pPr>
      <w:rPr>
        <w:rFonts w:hint="default"/>
      </w:rPr>
    </w:lvl>
    <w:lvl w:ilvl="1" w:tplc="04100019">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5">
    <w:nsid w:val="5C987A0B"/>
    <w:multiLevelType w:val="hybridMultilevel"/>
    <w:tmpl w:val="12C8FA1C"/>
    <w:lvl w:ilvl="0" w:tplc="8550C8C6">
      <w:start w:val="1"/>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DE034B6"/>
    <w:multiLevelType w:val="hybridMultilevel"/>
    <w:tmpl w:val="1D6882B6"/>
    <w:lvl w:ilvl="0" w:tplc="010A52A0">
      <w:start w:val="3"/>
      <w:numFmt w:val="bullet"/>
      <w:lvlText w:val="-"/>
      <w:lvlJc w:val="left"/>
      <w:pPr>
        <w:ind w:left="1386" w:hanging="360"/>
      </w:pPr>
      <w:rPr>
        <w:rFonts w:ascii="Calibri" w:eastAsia="Times New Roman" w:hAnsi="Calibri" w:cs="Calibri" w:hint="default"/>
      </w:rPr>
    </w:lvl>
    <w:lvl w:ilvl="1" w:tplc="04100003" w:tentative="1">
      <w:start w:val="1"/>
      <w:numFmt w:val="bullet"/>
      <w:lvlText w:val="o"/>
      <w:lvlJc w:val="left"/>
      <w:pPr>
        <w:ind w:left="2106" w:hanging="360"/>
      </w:pPr>
      <w:rPr>
        <w:rFonts w:ascii="Courier New" w:hAnsi="Courier New" w:cs="Courier New" w:hint="default"/>
      </w:rPr>
    </w:lvl>
    <w:lvl w:ilvl="2" w:tplc="04100005" w:tentative="1">
      <w:start w:val="1"/>
      <w:numFmt w:val="bullet"/>
      <w:lvlText w:val=""/>
      <w:lvlJc w:val="left"/>
      <w:pPr>
        <w:ind w:left="2826" w:hanging="360"/>
      </w:pPr>
      <w:rPr>
        <w:rFonts w:ascii="Wingdings" w:hAnsi="Wingdings" w:hint="default"/>
      </w:rPr>
    </w:lvl>
    <w:lvl w:ilvl="3" w:tplc="04100001" w:tentative="1">
      <w:start w:val="1"/>
      <w:numFmt w:val="bullet"/>
      <w:lvlText w:val=""/>
      <w:lvlJc w:val="left"/>
      <w:pPr>
        <w:ind w:left="3546" w:hanging="360"/>
      </w:pPr>
      <w:rPr>
        <w:rFonts w:ascii="Symbol" w:hAnsi="Symbol" w:hint="default"/>
      </w:rPr>
    </w:lvl>
    <w:lvl w:ilvl="4" w:tplc="04100003" w:tentative="1">
      <w:start w:val="1"/>
      <w:numFmt w:val="bullet"/>
      <w:lvlText w:val="o"/>
      <w:lvlJc w:val="left"/>
      <w:pPr>
        <w:ind w:left="4266" w:hanging="360"/>
      </w:pPr>
      <w:rPr>
        <w:rFonts w:ascii="Courier New" w:hAnsi="Courier New" w:cs="Courier New" w:hint="default"/>
      </w:rPr>
    </w:lvl>
    <w:lvl w:ilvl="5" w:tplc="04100005" w:tentative="1">
      <w:start w:val="1"/>
      <w:numFmt w:val="bullet"/>
      <w:lvlText w:val=""/>
      <w:lvlJc w:val="left"/>
      <w:pPr>
        <w:ind w:left="4986" w:hanging="360"/>
      </w:pPr>
      <w:rPr>
        <w:rFonts w:ascii="Wingdings" w:hAnsi="Wingdings" w:hint="default"/>
      </w:rPr>
    </w:lvl>
    <w:lvl w:ilvl="6" w:tplc="04100001" w:tentative="1">
      <w:start w:val="1"/>
      <w:numFmt w:val="bullet"/>
      <w:lvlText w:val=""/>
      <w:lvlJc w:val="left"/>
      <w:pPr>
        <w:ind w:left="5706" w:hanging="360"/>
      </w:pPr>
      <w:rPr>
        <w:rFonts w:ascii="Symbol" w:hAnsi="Symbol" w:hint="default"/>
      </w:rPr>
    </w:lvl>
    <w:lvl w:ilvl="7" w:tplc="04100003" w:tentative="1">
      <w:start w:val="1"/>
      <w:numFmt w:val="bullet"/>
      <w:lvlText w:val="o"/>
      <w:lvlJc w:val="left"/>
      <w:pPr>
        <w:ind w:left="6426" w:hanging="360"/>
      </w:pPr>
      <w:rPr>
        <w:rFonts w:ascii="Courier New" w:hAnsi="Courier New" w:cs="Courier New" w:hint="default"/>
      </w:rPr>
    </w:lvl>
    <w:lvl w:ilvl="8" w:tplc="04100005" w:tentative="1">
      <w:start w:val="1"/>
      <w:numFmt w:val="bullet"/>
      <w:lvlText w:val=""/>
      <w:lvlJc w:val="left"/>
      <w:pPr>
        <w:ind w:left="7146" w:hanging="360"/>
      </w:pPr>
      <w:rPr>
        <w:rFonts w:ascii="Wingdings" w:hAnsi="Wingdings" w:hint="default"/>
      </w:rPr>
    </w:lvl>
  </w:abstractNum>
  <w:abstractNum w:abstractNumId="37">
    <w:nsid w:val="5E4A0D23"/>
    <w:multiLevelType w:val="hybridMultilevel"/>
    <w:tmpl w:val="8FE6D746"/>
    <w:lvl w:ilvl="0" w:tplc="547EF552">
      <w:start w:val="1"/>
      <w:numFmt w:val="decimal"/>
      <w:lvlText w:val="%1."/>
      <w:lvlJc w:val="left"/>
      <w:pPr>
        <w:ind w:left="786"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52A4A6C"/>
    <w:multiLevelType w:val="hybridMultilevel"/>
    <w:tmpl w:val="557C0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7365434"/>
    <w:multiLevelType w:val="hybridMultilevel"/>
    <w:tmpl w:val="B0F88744"/>
    <w:lvl w:ilvl="0" w:tplc="3B720A80">
      <w:start w:val="1"/>
      <w:numFmt w:val="decimal"/>
      <w:lvlText w:val="%1."/>
      <w:lvlJc w:val="left"/>
      <w:pPr>
        <w:ind w:left="360" w:hanging="360"/>
      </w:pPr>
      <w:rPr>
        <w:rFonts w:cs="Times New Roman" w:hint="default"/>
      </w:r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68106C73"/>
    <w:multiLevelType w:val="hybridMultilevel"/>
    <w:tmpl w:val="AB02FBA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nsid w:val="6A0A43A4"/>
    <w:multiLevelType w:val="hybridMultilevel"/>
    <w:tmpl w:val="460EEB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1FF0B21"/>
    <w:multiLevelType w:val="hybridMultilevel"/>
    <w:tmpl w:val="5E10DFD6"/>
    <w:lvl w:ilvl="0" w:tplc="010A52A0">
      <w:start w:val="3"/>
      <w:numFmt w:val="bullet"/>
      <w:lvlText w:val="-"/>
      <w:lvlJc w:val="left"/>
      <w:pPr>
        <w:ind w:left="1386"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2F0308A"/>
    <w:multiLevelType w:val="hybridMultilevel"/>
    <w:tmpl w:val="C2A24206"/>
    <w:lvl w:ilvl="0" w:tplc="DB444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3F67766"/>
    <w:multiLevelType w:val="hybridMultilevel"/>
    <w:tmpl w:val="999A4DC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5">
    <w:nsid w:val="78E65E8B"/>
    <w:multiLevelType w:val="hybridMultilevel"/>
    <w:tmpl w:val="A34E8CA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6">
    <w:nsid w:val="7DF03C84"/>
    <w:multiLevelType w:val="hybridMultilevel"/>
    <w:tmpl w:val="A878B2EC"/>
    <w:lvl w:ilvl="0" w:tplc="DB444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E2E0322"/>
    <w:multiLevelType w:val="hybridMultilevel"/>
    <w:tmpl w:val="D58848A6"/>
    <w:lvl w:ilvl="0" w:tplc="A036E10A">
      <w:start w:val="2"/>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E9F6252"/>
    <w:multiLevelType w:val="hybridMultilevel"/>
    <w:tmpl w:val="4DC00F0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F041330"/>
    <w:multiLevelType w:val="hybridMultilevel"/>
    <w:tmpl w:val="6FAA543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0"/>
  </w:num>
  <w:num w:numId="3">
    <w:abstractNumId w:val="7"/>
  </w:num>
  <w:num w:numId="4">
    <w:abstractNumId w:val="26"/>
  </w:num>
  <w:num w:numId="5">
    <w:abstractNumId w:val="23"/>
  </w:num>
  <w:num w:numId="6">
    <w:abstractNumId w:val="33"/>
  </w:num>
  <w:num w:numId="7">
    <w:abstractNumId w:val="32"/>
  </w:num>
  <w:num w:numId="8">
    <w:abstractNumId w:val="12"/>
  </w:num>
  <w:num w:numId="9">
    <w:abstractNumId w:val="6"/>
  </w:num>
  <w:num w:numId="10">
    <w:abstractNumId w:val="11"/>
  </w:num>
  <w:num w:numId="11">
    <w:abstractNumId w:val="48"/>
  </w:num>
  <w:num w:numId="12">
    <w:abstractNumId w:val="27"/>
  </w:num>
  <w:num w:numId="13">
    <w:abstractNumId w:val="1"/>
  </w:num>
  <w:num w:numId="14">
    <w:abstractNumId w:val="35"/>
  </w:num>
  <w:num w:numId="15">
    <w:abstractNumId w:val="30"/>
  </w:num>
  <w:num w:numId="16">
    <w:abstractNumId w:val="47"/>
  </w:num>
  <w:num w:numId="17">
    <w:abstractNumId w:val="13"/>
  </w:num>
  <w:num w:numId="18">
    <w:abstractNumId w:val="16"/>
  </w:num>
  <w:num w:numId="19">
    <w:abstractNumId w:val="40"/>
  </w:num>
  <w:num w:numId="20">
    <w:abstractNumId w:val="2"/>
  </w:num>
  <w:num w:numId="21">
    <w:abstractNumId w:val="43"/>
  </w:num>
  <w:num w:numId="22">
    <w:abstractNumId w:val="46"/>
  </w:num>
  <w:num w:numId="23">
    <w:abstractNumId w:val="3"/>
  </w:num>
  <w:num w:numId="24">
    <w:abstractNumId w:val="29"/>
  </w:num>
  <w:num w:numId="25">
    <w:abstractNumId w:val="41"/>
  </w:num>
  <w:num w:numId="26">
    <w:abstractNumId w:val="15"/>
  </w:num>
  <w:num w:numId="27">
    <w:abstractNumId w:val="45"/>
  </w:num>
  <w:num w:numId="28">
    <w:abstractNumId w:val="10"/>
  </w:num>
  <w:num w:numId="29">
    <w:abstractNumId w:val="25"/>
  </w:num>
  <w:num w:numId="30">
    <w:abstractNumId w:val="8"/>
  </w:num>
  <w:num w:numId="31">
    <w:abstractNumId w:val="38"/>
  </w:num>
  <w:num w:numId="32">
    <w:abstractNumId w:val="22"/>
  </w:num>
  <w:num w:numId="33">
    <w:abstractNumId w:val="44"/>
  </w:num>
  <w:num w:numId="34">
    <w:abstractNumId w:val="34"/>
  </w:num>
  <w:num w:numId="35">
    <w:abstractNumId w:val="14"/>
  </w:num>
  <w:num w:numId="36">
    <w:abstractNumId w:val="36"/>
  </w:num>
  <w:num w:numId="37">
    <w:abstractNumId w:val="4"/>
  </w:num>
  <w:num w:numId="38">
    <w:abstractNumId w:val="31"/>
  </w:num>
  <w:num w:numId="39">
    <w:abstractNumId w:val="39"/>
  </w:num>
  <w:num w:numId="40">
    <w:abstractNumId w:val="20"/>
  </w:num>
  <w:num w:numId="41">
    <w:abstractNumId w:val="42"/>
  </w:num>
  <w:num w:numId="42">
    <w:abstractNumId w:val="9"/>
  </w:num>
  <w:num w:numId="43">
    <w:abstractNumId w:val="24"/>
  </w:num>
  <w:num w:numId="44">
    <w:abstractNumId w:val="21"/>
  </w:num>
  <w:num w:numId="45">
    <w:abstractNumId w:val="19"/>
  </w:num>
  <w:num w:numId="46">
    <w:abstractNumId w:val="18"/>
  </w:num>
  <w:num w:numId="47">
    <w:abstractNumId w:val="5"/>
  </w:num>
  <w:num w:numId="48">
    <w:abstractNumId w:val="17"/>
  </w:num>
  <w:num w:numId="49">
    <w:abstractNumId w:val="28"/>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26143C"/>
    <w:rsid w:val="000057A4"/>
    <w:rsid w:val="000372E9"/>
    <w:rsid w:val="00070205"/>
    <w:rsid w:val="00081DD2"/>
    <w:rsid w:val="000B4652"/>
    <w:rsid w:val="000D701B"/>
    <w:rsid w:val="000E6915"/>
    <w:rsid w:val="000F28F0"/>
    <w:rsid w:val="000F48CA"/>
    <w:rsid w:val="000F7862"/>
    <w:rsid w:val="00121E24"/>
    <w:rsid w:val="00126069"/>
    <w:rsid w:val="00126493"/>
    <w:rsid w:val="00147AE6"/>
    <w:rsid w:val="00153ADD"/>
    <w:rsid w:val="0015414D"/>
    <w:rsid w:val="00155B45"/>
    <w:rsid w:val="00192AB1"/>
    <w:rsid w:val="00197F23"/>
    <w:rsid w:val="001B70CE"/>
    <w:rsid w:val="001C6940"/>
    <w:rsid w:val="001E1582"/>
    <w:rsid w:val="001F00AA"/>
    <w:rsid w:val="002107D0"/>
    <w:rsid w:val="00230DA6"/>
    <w:rsid w:val="0026143C"/>
    <w:rsid w:val="0029001B"/>
    <w:rsid w:val="0029233F"/>
    <w:rsid w:val="00292F07"/>
    <w:rsid w:val="002C1319"/>
    <w:rsid w:val="002D626B"/>
    <w:rsid w:val="002D6270"/>
    <w:rsid w:val="002F79F9"/>
    <w:rsid w:val="0031774C"/>
    <w:rsid w:val="003203C5"/>
    <w:rsid w:val="0033538F"/>
    <w:rsid w:val="00343357"/>
    <w:rsid w:val="003744D2"/>
    <w:rsid w:val="003A04E3"/>
    <w:rsid w:val="003A5ACA"/>
    <w:rsid w:val="003B0766"/>
    <w:rsid w:val="003B2FB5"/>
    <w:rsid w:val="003F5D64"/>
    <w:rsid w:val="0040322F"/>
    <w:rsid w:val="004107DC"/>
    <w:rsid w:val="00421251"/>
    <w:rsid w:val="00460887"/>
    <w:rsid w:val="004659C1"/>
    <w:rsid w:val="004707F9"/>
    <w:rsid w:val="00471954"/>
    <w:rsid w:val="00473792"/>
    <w:rsid w:val="004B5D1A"/>
    <w:rsid w:val="004C171D"/>
    <w:rsid w:val="004F1AE9"/>
    <w:rsid w:val="00507531"/>
    <w:rsid w:val="005269DF"/>
    <w:rsid w:val="0054796D"/>
    <w:rsid w:val="005512A7"/>
    <w:rsid w:val="00555DC2"/>
    <w:rsid w:val="00573FAA"/>
    <w:rsid w:val="0057710C"/>
    <w:rsid w:val="005864DA"/>
    <w:rsid w:val="00594582"/>
    <w:rsid w:val="005A24EC"/>
    <w:rsid w:val="005B1827"/>
    <w:rsid w:val="005B70D9"/>
    <w:rsid w:val="005D4B1F"/>
    <w:rsid w:val="005F541F"/>
    <w:rsid w:val="00603E6D"/>
    <w:rsid w:val="00605157"/>
    <w:rsid w:val="00611500"/>
    <w:rsid w:val="00613075"/>
    <w:rsid w:val="0063084C"/>
    <w:rsid w:val="00643359"/>
    <w:rsid w:val="00674F03"/>
    <w:rsid w:val="00684E68"/>
    <w:rsid w:val="006906E2"/>
    <w:rsid w:val="006A1B46"/>
    <w:rsid w:val="006E2FD9"/>
    <w:rsid w:val="006E4D90"/>
    <w:rsid w:val="007023A3"/>
    <w:rsid w:val="00706ECE"/>
    <w:rsid w:val="00721762"/>
    <w:rsid w:val="00734937"/>
    <w:rsid w:val="007439DB"/>
    <w:rsid w:val="007702CE"/>
    <w:rsid w:val="007907C9"/>
    <w:rsid w:val="007C1FB7"/>
    <w:rsid w:val="007E1775"/>
    <w:rsid w:val="007F4D00"/>
    <w:rsid w:val="00816CFF"/>
    <w:rsid w:val="0084672A"/>
    <w:rsid w:val="008929EB"/>
    <w:rsid w:val="008A1900"/>
    <w:rsid w:val="008A6F85"/>
    <w:rsid w:val="008B1E5C"/>
    <w:rsid w:val="008B36FF"/>
    <w:rsid w:val="00930111"/>
    <w:rsid w:val="009336E2"/>
    <w:rsid w:val="00947C08"/>
    <w:rsid w:val="009523A6"/>
    <w:rsid w:val="00953C92"/>
    <w:rsid w:val="009611C6"/>
    <w:rsid w:val="00964889"/>
    <w:rsid w:val="00967AAB"/>
    <w:rsid w:val="009A585A"/>
    <w:rsid w:val="009B7F6F"/>
    <w:rsid w:val="00A0551B"/>
    <w:rsid w:val="00A163CA"/>
    <w:rsid w:val="00A22EBF"/>
    <w:rsid w:val="00A44078"/>
    <w:rsid w:val="00A45E58"/>
    <w:rsid w:val="00A910B4"/>
    <w:rsid w:val="00AA4F36"/>
    <w:rsid w:val="00AB74B9"/>
    <w:rsid w:val="00B07023"/>
    <w:rsid w:val="00B1052B"/>
    <w:rsid w:val="00B129AA"/>
    <w:rsid w:val="00B25649"/>
    <w:rsid w:val="00B46586"/>
    <w:rsid w:val="00B670E2"/>
    <w:rsid w:val="00B70192"/>
    <w:rsid w:val="00B751D6"/>
    <w:rsid w:val="00B91C18"/>
    <w:rsid w:val="00BA09EC"/>
    <w:rsid w:val="00BA3631"/>
    <w:rsid w:val="00BA653B"/>
    <w:rsid w:val="00BC26D0"/>
    <w:rsid w:val="00BE033E"/>
    <w:rsid w:val="00C116F2"/>
    <w:rsid w:val="00C46967"/>
    <w:rsid w:val="00C52403"/>
    <w:rsid w:val="00C65BC6"/>
    <w:rsid w:val="00C80C7D"/>
    <w:rsid w:val="00C86AC7"/>
    <w:rsid w:val="00CC31C0"/>
    <w:rsid w:val="00CD7433"/>
    <w:rsid w:val="00CF7FDC"/>
    <w:rsid w:val="00D1160C"/>
    <w:rsid w:val="00D246AF"/>
    <w:rsid w:val="00D335B3"/>
    <w:rsid w:val="00D40FE2"/>
    <w:rsid w:val="00D41D6D"/>
    <w:rsid w:val="00D423D4"/>
    <w:rsid w:val="00DA13F9"/>
    <w:rsid w:val="00DA51E0"/>
    <w:rsid w:val="00DA685E"/>
    <w:rsid w:val="00DE2F31"/>
    <w:rsid w:val="00DE34F8"/>
    <w:rsid w:val="00DE5FDC"/>
    <w:rsid w:val="00DF4753"/>
    <w:rsid w:val="00E7230E"/>
    <w:rsid w:val="00E85674"/>
    <w:rsid w:val="00E91DA2"/>
    <w:rsid w:val="00EF152E"/>
    <w:rsid w:val="00EF544F"/>
    <w:rsid w:val="00EF7E70"/>
    <w:rsid w:val="00F03B44"/>
    <w:rsid w:val="00F12C23"/>
    <w:rsid w:val="00F168E4"/>
    <w:rsid w:val="00F3664D"/>
    <w:rsid w:val="00F67838"/>
    <w:rsid w:val="00F75AAC"/>
    <w:rsid w:val="00F8150B"/>
    <w:rsid w:val="00FA0F6A"/>
    <w:rsid w:val="00FA6494"/>
    <w:rsid w:val="00FB3351"/>
    <w:rsid w:val="00FD2901"/>
    <w:rsid w:val="00FD6C48"/>
    <w:rsid w:val="00FF51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43C"/>
    <w:rPr>
      <w:rFonts w:ascii="Calibri" w:eastAsia="Calibri" w:hAnsi="Calibri" w:cs="Times New Roman"/>
    </w:rPr>
  </w:style>
  <w:style w:type="paragraph" w:styleId="Titolo2">
    <w:name w:val="heading 2"/>
    <w:basedOn w:val="Normale"/>
    <w:next w:val="Normale"/>
    <w:link w:val="Titolo2Carattere"/>
    <w:uiPriority w:val="99"/>
    <w:qFormat/>
    <w:rsid w:val="008929EB"/>
    <w:pPr>
      <w:keepNext/>
      <w:spacing w:after="0" w:line="240" w:lineRule="auto"/>
      <w:outlineLvl w:val="1"/>
    </w:pPr>
    <w:rPr>
      <w:rFonts w:ascii="Verdana" w:eastAsia="Times New Roman" w:hAnsi="Verdana" w:cs="Courier New"/>
      <w:b/>
      <w:bC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6143C"/>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aliases w:val="Table of contents numbered,Normal bullet 2,List Paragraph11,Bullet 1,Elenco num ARGEA,Bullet list,Numbered List,1st level - Bullet List Paragraph,Lettre d'introduction,List Paragraph à moi,Paragraph,Bullet EY,Ha"/>
    <w:basedOn w:val="Normale"/>
    <w:link w:val="ParagrafoelencoCarattere"/>
    <w:uiPriority w:val="99"/>
    <w:qFormat/>
    <w:rsid w:val="00DF4753"/>
    <w:pPr>
      <w:suppressAutoHyphens/>
      <w:spacing w:after="0" w:line="240" w:lineRule="auto"/>
      <w:ind w:left="720"/>
      <w:textAlignment w:val="baseline"/>
    </w:pPr>
    <w:rPr>
      <w:rFonts w:ascii="Times New Roman" w:eastAsia="Times New Roman" w:hAnsi="Times New Roman"/>
      <w:sz w:val="24"/>
      <w:szCs w:val="24"/>
      <w:lang w:eastAsia="ar-SA"/>
    </w:rPr>
  </w:style>
  <w:style w:type="character" w:customStyle="1" w:styleId="ParagrafoelencoCarattere">
    <w:name w:val="Paragrafo elenco Carattere"/>
    <w:aliases w:val="Table of contents numbered Carattere,Normal bullet 2 Carattere,List Paragraph11 Carattere,Bullet 1 Carattere,Elenco num ARGEA Carattere,Bullet list Carattere,Numbered List Carattere,1st level - Bullet List Paragraph Carattere"/>
    <w:link w:val="Paragrafoelenco"/>
    <w:uiPriority w:val="34"/>
    <w:locked/>
    <w:rsid w:val="00DF4753"/>
    <w:rPr>
      <w:rFonts w:ascii="Times New Roman" w:eastAsia="Times New Roman" w:hAnsi="Times New Roman" w:cs="Times New Roman"/>
      <w:sz w:val="24"/>
      <w:szCs w:val="24"/>
      <w:lang w:eastAsia="ar-SA"/>
    </w:rPr>
  </w:style>
  <w:style w:type="paragraph" w:customStyle="1" w:styleId="Paragrafoelenco1">
    <w:name w:val="Paragrafo elenco1"/>
    <w:basedOn w:val="Normale"/>
    <w:link w:val="ListParagraphChar"/>
    <w:rsid w:val="00DF4753"/>
    <w:pPr>
      <w:ind w:left="720"/>
      <w:contextualSpacing/>
    </w:pPr>
  </w:style>
  <w:style w:type="character" w:customStyle="1" w:styleId="ListParagraphChar">
    <w:name w:val="List Paragraph Char"/>
    <w:link w:val="Paragrafoelenco1"/>
    <w:locked/>
    <w:rsid w:val="00DF4753"/>
    <w:rPr>
      <w:rFonts w:ascii="Calibri" w:eastAsia="Calibri" w:hAnsi="Calibri" w:cs="Times New Roman"/>
    </w:rPr>
  </w:style>
  <w:style w:type="paragraph" w:styleId="Intestazione">
    <w:name w:val="header"/>
    <w:basedOn w:val="Normale"/>
    <w:link w:val="IntestazioneCarattere"/>
    <w:rsid w:val="005864DA"/>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basedOn w:val="Carpredefinitoparagrafo"/>
    <w:link w:val="Intestazione"/>
    <w:rsid w:val="005864DA"/>
    <w:rPr>
      <w:rFonts w:ascii="Times New Roman" w:eastAsia="Times New Roman" w:hAnsi="Times New Roman" w:cs="Times New Roman"/>
      <w:sz w:val="24"/>
      <w:szCs w:val="24"/>
      <w:lang w:eastAsia="it-IT"/>
    </w:rPr>
  </w:style>
  <w:style w:type="character" w:customStyle="1" w:styleId="apple-style-span">
    <w:name w:val="apple-style-span"/>
    <w:basedOn w:val="Carpredefinitoparagrafo"/>
    <w:rsid w:val="00147AE6"/>
  </w:style>
  <w:style w:type="character" w:customStyle="1" w:styleId="apple-converted-space">
    <w:name w:val="apple-converted-space"/>
    <w:basedOn w:val="Carpredefinitoparagrafo"/>
    <w:rsid w:val="00147AE6"/>
  </w:style>
  <w:style w:type="paragraph" w:styleId="Pidipagina">
    <w:name w:val="footer"/>
    <w:basedOn w:val="Normale"/>
    <w:link w:val="PidipaginaCarattere"/>
    <w:uiPriority w:val="99"/>
    <w:unhideWhenUsed/>
    <w:rsid w:val="005479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796D"/>
    <w:rPr>
      <w:rFonts w:ascii="Calibri" w:eastAsia="Calibri" w:hAnsi="Calibri" w:cs="Times New Roman"/>
    </w:rPr>
  </w:style>
  <w:style w:type="paragraph" w:styleId="Testofumetto">
    <w:name w:val="Balloon Text"/>
    <w:basedOn w:val="Normale"/>
    <w:link w:val="TestofumettoCarattere"/>
    <w:uiPriority w:val="99"/>
    <w:semiHidden/>
    <w:unhideWhenUsed/>
    <w:rsid w:val="005479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796D"/>
    <w:rPr>
      <w:rFonts w:ascii="Tahoma" w:eastAsia="Calibri" w:hAnsi="Tahoma" w:cs="Tahoma"/>
      <w:sz w:val="16"/>
      <w:szCs w:val="16"/>
    </w:rPr>
  </w:style>
  <w:style w:type="character" w:styleId="Enfasigrassetto">
    <w:name w:val="Strong"/>
    <w:basedOn w:val="Carpredefinitoparagrafo"/>
    <w:uiPriority w:val="99"/>
    <w:qFormat/>
    <w:rsid w:val="00A163CA"/>
    <w:rPr>
      <w:rFonts w:cs="Times New Roman"/>
      <w:b/>
    </w:rPr>
  </w:style>
  <w:style w:type="paragraph" w:customStyle="1" w:styleId="Paragrafoelenco3">
    <w:name w:val="Paragrafo elenco3"/>
    <w:basedOn w:val="Normale"/>
    <w:uiPriority w:val="99"/>
    <w:rsid w:val="00A163CA"/>
    <w:pPr>
      <w:ind w:left="720"/>
    </w:pPr>
    <w:rPr>
      <w:rFonts w:eastAsia="MS Mincho"/>
      <w:sz w:val="20"/>
      <w:szCs w:val="20"/>
      <w:lang w:eastAsia="it-IT"/>
    </w:rPr>
  </w:style>
  <w:style w:type="character" w:styleId="Collegamentoipertestuale">
    <w:name w:val="Hyperlink"/>
    <w:uiPriority w:val="99"/>
    <w:rsid w:val="00B46586"/>
    <w:rPr>
      <w:rFonts w:cs="Times New Roman"/>
      <w:color w:val="0000FF"/>
      <w:u w:val="single"/>
    </w:rPr>
  </w:style>
  <w:style w:type="character" w:customStyle="1" w:styleId="Titolo2Carattere">
    <w:name w:val="Titolo 2 Carattere"/>
    <w:basedOn w:val="Carpredefinitoparagrafo"/>
    <w:link w:val="Titolo2"/>
    <w:uiPriority w:val="99"/>
    <w:rsid w:val="008929EB"/>
    <w:rPr>
      <w:rFonts w:ascii="Verdana" w:eastAsia="Times New Roman" w:hAnsi="Verdana" w:cs="Courier New"/>
      <w:b/>
      <w:bCs/>
      <w:szCs w:val="20"/>
      <w:lang w:eastAsia="it-IT"/>
    </w:rPr>
  </w:style>
  <w:style w:type="table" w:styleId="Grigliatabella">
    <w:name w:val="Table Grid"/>
    <w:basedOn w:val="Tabellanormale"/>
    <w:uiPriority w:val="59"/>
    <w:rsid w:val="0064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081811">
      <w:bodyDiv w:val="1"/>
      <w:marLeft w:val="0"/>
      <w:marRight w:val="0"/>
      <w:marTop w:val="0"/>
      <w:marBottom w:val="0"/>
      <w:divBdr>
        <w:top w:val="none" w:sz="0" w:space="0" w:color="auto"/>
        <w:left w:val="none" w:sz="0" w:space="0" w:color="auto"/>
        <w:bottom w:val="none" w:sz="0" w:space="0" w:color="auto"/>
        <w:right w:val="none" w:sz="0" w:space="0" w:color="auto"/>
      </w:divBdr>
    </w:div>
    <w:div w:id="397287468">
      <w:bodyDiv w:val="1"/>
      <w:marLeft w:val="0"/>
      <w:marRight w:val="0"/>
      <w:marTop w:val="0"/>
      <w:marBottom w:val="0"/>
      <w:divBdr>
        <w:top w:val="none" w:sz="0" w:space="0" w:color="auto"/>
        <w:left w:val="none" w:sz="0" w:space="0" w:color="auto"/>
        <w:bottom w:val="none" w:sz="0" w:space="0" w:color="auto"/>
        <w:right w:val="none" w:sz="0" w:space="0" w:color="auto"/>
      </w:divBdr>
    </w:div>
    <w:div w:id="563567747">
      <w:bodyDiv w:val="1"/>
      <w:marLeft w:val="0"/>
      <w:marRight w:val="0"/>
      <w:marTop w:val="0"/>
      <w:marBottom w:val="0"/>
      <w:divBdr>
        <w:top w:val="none" w:sz="0" w:space="0" w:color="auto"/>
        <w:left w:val="none" w:sz="0" w:space="0" w:color="auto"/>
        <w:bottom w:val="none" w:sz="0" w:space="0" w:color="auto"/>
        <w:right w:val="none" w:sz="0" w:space="0" w:color="auto"/>
      </w:divBdr>
    </w:div>
    <w:div w:id="1210144405">
      <w:bodyDiv w:val="1"/>
      <w:marLeft w:val="0"/>
      <w:marRight w:val="0"/>
      <w:marTop w:val="0"/>
      <w:marBottom w:val="0"/>
      <w:divBdr>
        <w:top w:val="none" w:sz="0" w:space="0" w:color="auto"/>
        <w:left w:val="none" w:sz="0" w:space="0" w:color="auto"/>
        <w:bottom w:val="none" w:sz="0" w:space="0" w:color="auto"/>
        <w:right w:val="none" w:sz="0" w:space="0" w:color="auto"/>
      </w:divBdr>
    </w:div>
    <w:div w:id="19599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s5.protgen@certsanita.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aopn.sanita.fvg.it/opencms/export/sites/aopn/it/_news/Allegati/Legge_Regionale_16_ottobre_2014_n._17.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440BB9-88E3-45DA-B4B3-D4664B21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7131</Words>
  <Characters>40647</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Az.Osp.S.Maria degli Angeli PN</Company>
  <LinksUpToDate>false</LinksUpToDate>
  <CharactersWithSpaces>47683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loreta.darenzo</dc:creator>
  <cp:lastModifiedBy>Help Desk</cp:lastModifiedBy>
  <cp:revision>2</cp:revision>
  <cp:lastPrinted>2016-09-26T15:18:00Z</cp:lastPrinted>
  <dcterms:created xsi:type="dcterms:W3CDTF">2019-03-29T08:31:00Z</dcterms:created>
  <dcterms:modified xsi:type="dcterms:W3CDTF">2019-03-29T08:31:00Z</dcterms:modified>
</cp:coreProperties>
</file>